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3E7" w:rsidRPr="00D31DD7" w:rsidRDefault="00D31DD7" w:rsidP="0098220D">
      <w:pPr>
        <w:spacing w:before="120" w:after="120" w:line="240" w:lineRule="auto"/>
        <w:rPr>
          <w:rFonts w:cs="Arial"/>
          <w:b/>
          <w:color w:val="303030"/>
          <w:sz w:val="28"/>
          <w:szCs w:val="28"/>
          <w:lang w:val="de-DE"/>
        </w:rPr>
      </w:pPr>
      <w:r w:rsidRPr="00D31DD7">
        <w:rPr>
          <w:rFonts w:cs="Arial"/>
          <w:b/>
          <w:color w:val="303030"/>
          <w:sz w:val="28"/>
          <w:szCs w:val="28"/>
          <w:lang w:val="de-DE"/>
        </w:rPr>
        <w:t xml:space="preserve">Euregio </w:t>
      </w:r>
      <w:proofErr w:type="spellStart"/>
      <w:r w:rsidRPr="00D31DD7">
        <w:rPr>
          <w:rFonts w:cs="Arial"/>
          <w:b/>
          <w:color w:val="303030"/>
          <w:sz w:val="28"/>
          <w:szCs w:val="28"/>
          <w:lang w:val="de-DE"/>
        </w:rPr>
        <w:t>Premio</w:t>
      </w:r>
      <w:proofErr w:type="spellEnd"/>
      <w:r w:rsidRPr="00D31DD7">
        <w:rPr>
          <w:rFonts w:cs="Arial"/>
          <w:b/>
          <w:color w:val="303030"/>
          <w:sz w:val="28"/>
          <w:szCs w:val="28"/>
          <w:lang w:val="de-DE"/>
        </w:rPr>
        <w:t xml:space="preserve"> giovani </w:t>
      </w:r>
      <w:proofErr w:type="spellStart"/>
      <w:r w:rsidRPr="00D31DD7">
        <w:rPr>
          <w:rFonts w:cs="Arial"/>
          <w:b/>
          <w:color w:val="303030"/>
          <w:sz w:val="28"/>
          <w:szCs w:val="28"/>
          <w:lang w:val="de-DE"/>
        </w:rPr>
        <w:t>ricercatori</w:t>
      </w:r>
      <w:proofErr w:type="spellEnd"/>
      <w:r w:rsidRPr="00D31DD7">
        <w:rPr>
          <w:rFonts w:cs="Arial"/>
          <w:b/>
          <w:color w:val="303030"/>
          <w:sz w:val="28"/>
          <w:szCs w:val="28"/>
          <w:lang w:val="de-DE"/>
        </w:rPr>
        <w:t xml:space="preserve"> </w:t>
      </w:r>
      <w:r w:rsidR="004C73E7" w:rsidRPr="00D31DD7">
        <w:rPr>
          <w:rFonts w:cs="Arial"/>
          <w:b/>
          <w:color w:val="303030"/>
          <w:sz w:val="28"/>
          <w:szCs w:val="28"/>
          <w:lang w:val="de-DE"/>
        </w:rPr>
        <w:t>2017</w:t>
      </w:r>
    </w:p>
    <w:p w:rsidR="004C73E7" w:rsidRPr="00D31DD7" w:rsidRDefault="004C73E7" w:rsidP="0098220D">
      <w:pPr>
        <w:spacing w:before="120" w:after="120" w:line="240" w:lineRule="auto"/>
        <w:rPr>
          <w:rFonts w:cs="Arial"/>
          <w:color w:val="303030"/>
          <w:lang w:val="de-DE"/>
        </w:rPr>
      </w:pPr>
    </w:p>
    <w:p w:rsidR="004C73E7" w:rsidRPr="00D31DD7" w:rsidRDefault="00D31DD7" w:rsidP="0098220D">
      <w:pPr>
        <w:spacing w:before="120" w:after="120" w:line="240" w:lineRule="auto"/>
        <w:rPr>
          <w:rFonts w:cs="Arial"/>
          <w:b/>
          <w:color w:val="303030"/>
          <w:sz w:val="24"/>
          <w:szCs w:val="24"/>
          <w:lang w:val="it-IT"/>
        </w:rPr>
      </w:pPr>
      <w:r w:rsidRPr="00D31DD7">
        <w:rPr>
          <w:rFonts w:cs="Arial"/>
          <w:b/>
          <w:color w:val="303030"/>
          <w:sz w:val="24"/>
          <w:szCs w:val="24"/>
          <w:lang w:val="it-IT"/>
        </w:rPr>
        <w:t xml:space="preserve">Categoria 1 “Mobilità sostenibile nelle regioni </w:t>
      </w:r>
      <w:proofErr w:type="gramStart"/>
      <w:r w:rsidRPr="00D31DD7">
        <w:rPr>
          <w:rFonts w:cs="Arial"/>
          <w:b/>
          <w:color w:val="303030"/>
          <w:sz w:val="24"/>
          <w:szCs w:val="24"/>
          <w:lang w:val="it-IT"/>
        </w:rPr>
        <w:t xml:space="preserve">alpine“ </w:t>
      </w:r>
      <w:r w:rsidR="004C73E7" w:rsidRPr="00D31DD7">
        <w:rPr>
          <w:rFonts w:cs="Arial"/>
          <w:b/>
          <w:color w:val="303030"/>
          <w:sz w:val="24"/>
          <w:szCs w:val="24"/>
          <w:lang w:val="it-IT"/>
        </w:rPr>
        <w:t>–</w:t>
      </w:r>
      <w:proofErr w:type="gramEnd"/>
      <w:r w:rsidR="004C73E7" w:rsidRPr="00D31DD7">
        <w:rPr>
          <w:rFonts w:cs="Arial"/>
          <w:b/>
          <w:color w:val="303030"/>
          <w:sz w:val="24"/>
          <w:szCs w:val="24"/>
          <w:lang w:val="it-IT"/>
        </w:rPr>
        <w:t xml:space="preserve"> </w:t>
      </w:r>
      <w:r w:rsidRPr="00D31DD7">
        <w:rPr>
          <w:rFonts w:cs="Arial"/>
          <w:b/>
          <w:color w:val="303030"/>
          <w:sz w:val="24"/>
          <w:szCs w:val="24"/>
          <w:lang w:val="it-IT"/>
        </w:rPr>
        <w:t>con premio speciale „Cosi guida il Tirolo 2050“</w:t>
      </w:r>
    </w:p>
    <w:p w:rsidR="004C73E7" w:rsidRPr="00D31DD7" w:rsidRDefault="004C73E7" w:rsidP="0098220D">
      <w:pPr>
        <w:spacing w:before="120" w:after="120" w:line="240" w:lineRule="auto"/>
        <w:rPr>
          <w:rFonts w:cs="Arial"/>
          <w:color w:val="303030"/>
          <w:lang w:val="it-IT"/>
        </w:rPr>
      </w:pPr>
    </w:p>
    <w:p w:rsidR="0067198F" w:rsidRDefault="0067198F" w:rsidP="004C73E7">
      <w:pPr>
        <w:spacing w:before="120" w:after="120" w:line="240" w:lineRule="auto"/>
        <w:rPr>
          <w:b/>
          <w:color w:val="303030"/>
          <w:lang w:val="it-IT"/>
        </w:rPr>
      </w:pPr>
      <w:r>
        <w:rPr>
          <w:b/>
          <w:color w:val="303030"/>
          <w:highlight w:val="yellow"/>
          <w:lang w:val="it-IT"/>
        </w:rPr>
        <w:t>VINCITORE</w:t>
      </w:r>
      <w:r w:rsidRPr="0067198F">
        <w:rPr>
          <w:b/>
          <w:color w:val="303030"/>
          <w:highlight w:val="yellow"/>
          <w:lang w:val="it-IT"/>
        </w:rPr>
        <w:t>: 2000 EURO</w:t>
      </w:r>
    </w:p>
    <w:p w:rsidR="004C73E7" w:rsidRPr="00F85F67" w:rsidRDefault="004C73E7" w:rsidP="004C73E7">
      <w:pPr>
        <w:spacing w:before="120" w:after="120" w:line="240" w:lineRule="auto"/>
        <w:rPr>
          <w:color w:val="303030"/>
          <w:lang w:val="it-IT"/>
        </w:rPr>
      </w:pPr>
      <w:proofErr w:type="spellStart"/>
      <w:proofErr w:type="gramStart"/>
      <w:r w:rsidRPr="004C73E7">
        <w:rPr>
          <w:b/>
          <w:color w:val="303030"/>
          <w:lang w:val="it-IT"/>
        </w:rPr>
        <w:t>Dipl</w:t>
      </w:r>
      <w:proofErr w:type="spellEnd"/>
      <w:r w:rsidRPr="004C73E7">
        <w:rPr>
          <w:b/>
          <w:color w:val="303030"/>
          <w:lang w:val="it-IT"/>
        </w:rPr>
        <w:t>.-</w:t>
      </w:r>
      <w:proofErr w:type="gramEnd"/>
      <w:r w:rsidRPr="004C73E7">
        <w:rPr>
          <w:b/>
          <w:color w:val="303030"/>
          <w:lang w:val="it-IT"/>
        </w:rPr>
        <w:t xml:space="preserve">Ing., </w:t>
      </w:r>
      <w:proofErr w:type="spellStart"/>
      <w:r w:rsidRPr="004C73E7">
        <w:rPr>
          <w:b/>
          <w:color w:val="303030"/>
          <w:lang w:val="it-IT"/>
        </w:rPr>
        <w:t>BSc</w:t>
      </w:r>
      <w:proofErr w:type="spellEnd"/>
      <w:r w:rsidRPr="004C73E7">
        <w:rPr>
          <w:b/>
          <w:color w:val="303030"/>
          <w:lang w:val="it-IT"/>
        </w:rPr>
        <w:t xml:space="preserve"> Matthias </w:t>
      </w:r>
      <w:proofErr w:type="spellStart"/>
      <w:r w:rsidRPr="004C73E7">
        <w:rPr>
          <w:b/>
          <w:color w:val="303030"/>
          <w:lang w:val="it-IT"/>
        </w:rPr>
        <w:t>Rauter</w:t>
      </w:r>
      <w:proofErr w:type="spellEnd"/>
      <w:r w:rsidRPr="00F85F67">
        <w:rPr>
          <w:color w:val="303030"/>
          <w:lang w:val="it-IT"/>
        </w:rPr>
        <w:t xml:space="preserve"> (Università di Innsbruck, settore di geotecnica e costruzione di gallerie, Centro di ricerca austriaco per le foreste, dipartimento rischi naturali) e </w:t>
      </w:r>
      <w:proofErr w:type="spellStart"/>
      <w:r w:rsidRPr="00F85F67">
        <w:rPr>
          <w:color w:val="303030"/>
          <w:lang w:val="it-IT"/>
        </w:rPr>
        <w:t>MSc</w:t>
      </w:r>
      <w:proofErr w:type="spellEnd"/>
      <w:r w:rsidRPr="00F85F67">
        <w:rPr>
          <w:color w:val="303030"/>
          <w:lang w:val="it-IT"/>
        </w:rPr>
        <w:t xml:space="preserve"> Daniel </w:t>
      </w:r>
      <w:proofErr w:type="spellStart"/>
      <w:r w:rsidRPr="00F85F67">
        <w:rPr>
          <w:color w:val="303030"/>
          <w:lang w:val="it-IT"/>
        </w:rPr>
        <w:t>Winkler</w:t>
      </w:r>
      <w:proofErr w:type="spellEnd"/>
      <w:r w:rsidRPr="00F85F67">
        <w:rPr>
          <w:color w:val="303030"/>
          <w:lang w:val="it-IT"/>
        </w:rPr>
        <w:t xml:space="preserve"> (Università di Innsbruck, unità di ingegneria ambientale).</w:t>
      </w:r>
    </w:p>
    <w:p w:rsidR="004C73E7" w:rsidRPr="00F85F67" w:rsidRDefault="004C73E7" w:rsidP="004C73E7">
      <w:pPr>
        <w:spacing w:before="120" w:after="120" w:line="240" w:lineRule="auto"/>
        <w:jc w:val="both"/>
        <w:rPr>
          <w:color w:val="303030"/>
          <w:lang w:val="it-IT"/>
        </w:rPr>
      </w:pPr>
      <w:proofErr w:type="spellStart"/>
      <w:proofErr w:type="gramStart"/>
      <w:r w:rsidRPr="00F85F67">
        <w:rPr>
          <w:color w:val="303030"/>
          <w:lang w:val="it-IT"/>
        </w:rPr>
        <w:t>Dipl</w:t>
      </w:r>
      <w:proofErr w:type="spellEnd"/>
      <w:r w:rsidRPr="00F85F67">
        <w:rPr>
          <w:color w:val="303030"/>
          <w:lang w:val="it-IT"/>
        </w:rPr>
        <w:t>.-</w:t>
      </w:r>
      <w:proofErr w:type="gramEnd"/>
      <w:r w:rsidRPr="00F85F67">
        <w:rPr>
          <w:color w:val="303030"/>
          <w:lang w:val="it-IT"/>
        </w:rPr>
        <w:t xml:space="preserve">Ing., </w:t>
      </w:r>
      <w:proofErr w:type="spellStart"/>
      <w:r w:rsidRPr="00F85F67">
        <w:rPr>
          <w:color w:val="303030"/>
          <w:lang w:val="it-IT"/>
        </w:rPr>
        <w:t>BSc</w:t>
      </w:r>
      <w:proofErr w:type="spellEnd"/>
      <w:r w:rsidRPr="00F85F67">
        <w:rPr>
          <w:color w:val="303030"/>
          <w:lang w:val="it-IT"/>
        </w:rPr>
        <w:t xml:space="preserve"> Matthias </w:t>
      </w:r>
      <w:proofErr w:type="spellStart"/>
      <w:r w:rsidRPr="00F85F67">
        <w:rPr>
          <w:color w:val="303030"/>
          <w:lang w:val="it-IT"/>
        </w:rPr>
        <w:t>Rauter</w:t>
      </w:r>
      <w:proofErr w:type="spellEnd"/>
      <w:r w:rsidRPr="00F85F67">
        <w:rPr>
          <w:color w:val="303030"/>
          <w:lang w:val="it-IT"/>
        </w:rPr>
        <w:t xml:space="preserve"> e </w:t>
      </w:r>
      <w:proofErr w:type="spellStart"/>
      <w:r w:rsidRPr="00F85F67">
        <w:rPr>
          <w:color w:val="303030"/>
          <w:lang w:val="it-IT"/>
        </w:rPr>
        <w:t>MSc</w:t>
      </w:r>
      <w:proofErr w:type="spellEnd"/>
      <w:r w:rsidRPr="00F85F67">
        <w:rPr>
          <w:color w:val="303030"/>
          <w:lang w:val="it-IT"/>
        </w:rPr>
        <w:t xml:space="preserve"> Daniel </w:t>
      </w:r>
      <w:proofErr w:type="spellStart"/>
      <w:r w:rsidRPr="00F85F67">
        <w:rPr>
          <w:color w:val="303030"/>
          <w:lang w:val="it-IT"/>
        </w:rPr>
        <w:t>Winkler</w:t>
      </w:r>
      <w:proofErr w:type="spellEnd"/>
      <w:r w:rsidRPr="00F85F67">
        <w:rPr>
          <w:color w:val="303030"/>
          <w:lang w:val="it-IT"/>
        </w:rPr>
        <w:t xml:space="preserve"> nel loro lavoro “</w:t>
      </w:r>
      <w:proofErr w:type="spellStart"/>
      <w:r w:rsidRPr="00F85F67">
        <w:rPr>
          <w:color w:val="303030"/>
          <w:lang w:val="it-IT"/>
        </w:rPr>
        <w:t>Predicting</w:t>
      </w:r>
      <w:proofErr w:type="spellEnd"/>
      <w:r w:rsidRPr="00F85F67">
        <w:rPr>
          <w:color w:val="303030"/>
          <w:lang w:val="it-IT"/>
        </w:rPr>
        <w:t xml:space="preserve"> Natural </w:t>
      </w:r>
      <w:proofErr w:type="spellStart"/>
      <w:r w:rsidRPr="00F85F67">
        <w:rPr>
          <w:color w:val="303030"/>
          <w:lang w:val="it-IT"/>
        </w:rPr>
        <w:t>Hazards</w:t>
      </w:r>
      <w:proofErr w:type="spellEnd"/>
      <w:r w:rsidRPr="00F85F67">
        <w:rPr>
          <w:color w:val="303030"/>
          <w:lang w:val="it-IT"/>
        </w:rPr>
        <w:t xml:space="preserve"> with </w:t>
      </w:r>
      <w:proofErr w:type="spellStart"/>
      <w:r w:rsidRPr="00F85F67">
        <w:rPr>
          <w:color w:val="303030"/>
          <w:lang w:val="it-IT"/>
        </w:rPr>
        <w:t>Neuronal</w:t>
      </w:r>
      <w:proofErr w:type="spellEnd"/>
      <w:r w:rsidRPr="00F85F67">
        <w:rPr>
          <w:color w:val="303030"/>
          <w:lang w:val="it-IT"/>
        </w:rPr>
        <w:t xml:space="preserve"> Networks” usano per la prima volta il sistema CNN (</w:t>
      </w:r>
      <w:proofErr w:type="spellStart"/>
      <w:r w:rsidRPr="00F85F67">
        <w:rPr>
          <w:color w:val="303030"/>
          <w:lang w:val="it-IT"/>
        </w:rPr>
        <w:t>Convolutional</w:t>
      </w:r>
      <w:proofErr w:type="spellEnd"/>
      <w:r w:rsidRPr="00F85F67">
        <w:rPr>
          <w:color w:val="303030"/>
          <w:lang w:val="it-IT"/>
        </w:rPr>
        <w:t xml:space="preserve"> </w:t>
      </w:r>
      <w:proofErr w:type="spellStart"/>
      <w:r w:rsidRPr="00F85F67">
        <w:rPr>
          <w:color w:val="303030"/>
          <w:lang w:val="it-IT"/>
        </w:rPr>
        <w:t>Neuronal</w:t>
      </w:r>
      <w:proofErr w:type="spellEnd"/>
      <w:r w:rsidRPr="00F85F67">
        <w:rPr>
          <w:color w:val="303030"/>
          <w:lang w:val="it-IT"/>
        </w:rPr>
        <w:t xml:space="preserve"> Network) per predire la vulnerabilità di una determinata regione basandosi sulla topografia che la circonda. Questa rete neuronale è in grado di predire gran parte delle valanghe, con un’accuratezza fino al 72%, a seconda della rete e della complessità del territorio. Tale ricerca potrebbe aumentare il processo creativo e la standardizzazione interregionale di mappe sulle zone a rischi naturali, le quali ricoprono un ruolo essenziale non solo per la sicurezza ma anche per il turismo e il traffico nelle regioni alpine.</w:t>
      </w:r>
    </w:p>
    <w:p w:rsidR="004C73E7" w:rsidRPr="00F85F67" w:rsidRDefault="004C73E7" w:rsidP="004C73E7">
      <w:pPr>
        <w:spacing w:before="120" w:after="120" w:line="240" w:lineRule="auto"/>
        <w:jc w:val="both"/>
        <w:rPr>
          <w:color w:val="303030"/>
          <w:lang w:val="it-IT"/>
        </w:rPr>
      </w:pPr>
    </w:p>
    <w:p w:rsidR="004C73E7" w:rsidRPr="00F85F67" w:rsidRDefault="004C73E7" w:rsidP="004C73E7">
      <w:pPr>
        <w:spacing w:before="120" w:after="120" w:line="240" w:lineRule="auto"/>
        <w:rPr>
          <w:rFonts w:cs="Arial"/>
          <w:color w:val="303030"/>
          <w:lang w:val="it-IT"/>
        </w:rPr>
      </w:pPr>
      <w:r w:rsidRPr="004C73E7">
        <w:rPr>
          <w:rFonts w:cs="Arial"/>
          <w:b/>
          <w:color w:val="303030"/>
          <w:lang w:val="it-IT"/>
        </w:rPr>
        <w:t>Anna Scuttari</w:t>
      </w:r>
      <w:r w:rsidRPr="00F85F67">
        <w:rPr>
          <w:rFonts w:cs="Arial"/>
          <w:color w:val="303030"/>
          <w:lang w:val="it-IT"/>
        </w:rPr>
        <w:t xml:space="preserve">, </w:t>
      </w:r>
      <w:r>
        <w:rPr>
          <w:rFonts w:cs="Arial"/>
          <w:color w:val="303030"/>
          <w:lang w:val="it-IT"/>
        </w:rPr>
        <w:t>dottoranda</w:t>
      </w:r>
      <w:r w:rsidRPr="00F85F67">
        <w:rPr>
          <w:rFonts w:cs="Arial"/>
          <w:color w:val="303030"/>
          <w:lang w:val="it-IT"/>
        </w:rPr>
        <w:t xml:space="preserve">, Università Cattolica di </w:t>
      </w:r>
      <w:proofErr w:type="spellStart"/>
      <w:r w:rsidRPr="00F85F67">
        <w:rPr>
          <w:rFonts w:cs="Arial"/>
          <w:color w:val="303030"/>
          <w:lang w:val="it-IT"/>
        </w:rPr>
        <w:t>Eichstätt</w:t>
      </w:r>
      <w:proofErr w:type="spellEnd"/>
      <w:r w:rsidRPr="00F85F67">
        <w:rPr>
          <w:rFonts w:cs="Arial"/>
          <w:color w:val="303030"/>
          <w:lang w:val="it-IT"/>
        </w:rPr>
        <w:t xml:space="preserve"> – Ingolstadt </w:t>
      </w:r>
      <w:r w:rsidR="00D31DD7">
        <w:rPr>
          <w:rFonts w:cs="Arial"/>
          <w:color w:val="303030"/>
          <w:lang w:val="it-IT"/>
        </w:rPr>
        <w:t xml:space="preserve">/ EURAC </w:t>
      </w:r>
      <w:proofErr w:type="spellStart"/>
      <w:r w:rsidR="00D31DD7">
        <w:rPr>
          <w:rFonts w:cs="Arial"/>
          <w:color w:val="303030"/>
          <w:lang w:val="it-IT"/>
        </w:rPr>
        <w:t>research</w:t>
      </w:r>
      <w:proofErr w:type="spellEnd"/>
      <w:r w:rsidR="00D31DD7">
        <w:rPr>
          <w:rFonts w:cs="Arial"/>
          <w:color w:val="303030"/>
          <w:lang w:val="it-IT"/>
        </w:rPr>
        <w:t>, Bolzano</w:t>
      </w:r>
    </w:p>
    <w:p w:rsidR="004C73E7" w:rsidRPr="00F85F67" w:rsidRDefault="004C73E7" w:rsidP="004C73E7">
      <w:pPr>
        <w:spacing w:before="120" w:after="120" w:line="240" w:lineRule="auto"/>
        <w:rPr>
          <w:rFonts w:cs="Arial"/>
          <w:color w:val="303030"/>
          <w:lang w:val="it-IT"/>
        </w:rPr>
      </w:pPr>
      <w:r w:rsidRPr="00F85F67">
        <w:rPr>
          <w:rFonts w:cs="Arial"/>
          <w:color w:val="303030"/>
          <w:lang w:val="it-IT"/>
        </w:rPr>
        <w:t>La dottoranda Anna Scuttari nel suo lavoro intitolato “</w:t>
      </w:r>
      <w:proofErr w:type="spellStart"/>
      <w:r w:rsidRPr="00F85F67">
        <w:rPr>
          <w:rFonts w:cs="Arial"/>
          <w:color w:val="303030"/>
          <w:lang w:val="it-IT"/>
        </w:rPr>
        <w:t>Sustainable</w:t>
      </w:r>
      <w:proofErr w:type="spellEnd"/>
      <w:r w:rsidRPr="00F85F67">
        <w:rPr>
          <w:rFonts w:cs="Arial"/>
          <w:color w:val="303030"/>
          <w:lang w:val="it-IT"/>
        </w:rPr>
        <w:t xml:space="preserve"> </w:t>
      </w:r>
      <w:proofErr w:type="spellStart"/>
      <w:r w:rsidRPr="00F85F67">
        <w:rPr>
          <w:rFonts w:cs="Arial"/>
          <w:color w:val="303030"/>
          <w:lang w:val="it-IT"/>
        </w:rPr>
        <w:t>mobility</w:t>
      </w:r>
      <w:proofErr w:type="spellEnd"/>
      <w:r w:rsidRPr="00F85F67">
        <w:rPr>
          <w:rFonts w:cs="Arial"/>
          <w:color w:val="303030"/>
          <w:lang w:val="it-IT"/>
        </w:rPr>
        <w:t xml:space="preserve"> in Alpine </w:t>
      </w:r>
      <w:proofErr w:type="spellStart"/>
      <w:r w:rsidRPr="00F85F67">
        <w:rPr>
          <w:rFonts w:cs="Arial"/>
          <w:color w:val="303030"/>
          <w:lang w:val="it-IT"/>
        </w:rPr>
        <w:t>destinations</w:t>
      </w:r>
      <w:proofErr w:type="spellEnd"/>
      <w:r w:rsidRPr="00F85F67">
        <w:rPr>
          <w:rFonts w:cs="Arial"/>
          <w:color w:val="303030"/>
          <w:lang w:val="it-IT"/>
        </w:rPr>
        <w:t>” mira a rappresentare la mobilità quale fonte di esperienze turistiche. Per questo si è concentrata nel comparare le diverse esperienze di viaggio in un ambiente alpino fossero esse alimentante dalla forza umana e quindi sostenibili come la bicicletta e o motorizzate come le motociclette. Inoltre esplora le domande quali come descrivere e misurare le esperienze di viaggio dei visitatori e come quest’ultime siano influenzate dal modo di spostarsi, sia esso sostenibile o meno.</w:t>
      </w:r>
    </w:p>
    <w:p w:rsidR="004C73E7" w:rsidRPr="00F85F67" w:rsidRDefault="004C73E7" w:rsidP="004C73E7">
      <w:pPr>
        <w:pStyle w:val="Default"/>
        <w:spacing w:before="120" w:after="120"/>
        <w:rPr>
          <w:rFonts w:asciiTheme="minorHAnsi" w:hAnsiTheme="minorHAnsi" w:cstheme="minorBidi"/>
          <w:color w:val="auto"/>
          <w:sz w:val="22"/>
          <w:szCs w:val="22"/>
          <w:lang w:val="it-IT"/>
        </w:rPr>
      </w:pPr>
    </w:p>
    <w:p w:rsidR="004C73E7" w:rsidRPr="00D31DD7" w:rsidRDefault="00D31DD7" w:rsidP="0098220D">
      <w:pPr>
        <w:spacing w:before="120" w:after="120" w:line="240" w:lineRule="auto"/>
        <w:rPr>
          <w:rFonts w:cs="Arial"/>
          <w:b/>
          <w:i/>
          <w:color w:val="303030"/>
          <w:lang w:val="it-IT"/>
        </w:rPr>
      </w:pPr>
      <w:r w:rsidRPr="00D31DD7">
        <w:rPr>
          <w:rFonts w:cs="Arial"/>
          <w:b/>
          <w:i/>
          <w:color w:val="303030"/>
          <w:lang w:val="it-IT"/>
        </w:rPr>
        <w:t>Categoria</w:t>
      </w:r>
      <w:r w:rsidR="004C73E7" w:rsidRPr="00D31DD7">
        <w:rPr>
          <w:rFonts w:cs="Arial"/>
          <w:b/>
          <w:i/>
          <w:color w:val="303030"/>
          <w:lang w:val="it-IT"/>
        </w:rPr>
        <w:t xml:space="preserve"> 1 – </w:t>
      </w:r>
      <w:r w:rsidRPr="00D31DD7">
        <w:rPr>
          <w:rFonts w:cs="Arial"/>
          <w:b/>
          <w:i/>
          <w:color w:val="303030"/>
          <w:lang w:val="it-IT"/>
        </w:rPr>
        <w:t>solo con premio speciale „Cosi guida il Tirolo 2050“</w:t>
      </w:r>
    </w:p>
    <w:p w:rsidR="004C73E7" w:rsidRPr="00D31DD7" w:rsidRDefault="004C73E7" w:rsidP="0098220D">
      <w:pPr>
        <w:spacing w:before="120" w:after="120" w:line="240" w:lineRule="auto"/>
        <w:rPr>
          <w:rFonts w:cs="Arial"/>
          <w:color w:val="303030"/>
          <w:lang w:val="it-IT"/>
        </w:rPr>
      </w:pPr>
    </w:p>
    <w:p w:rsidR="004C73E7" w:rsidRPr="0067198F" w:rsidRDefault="0067198F" w:rsidP="004C73E7">
      <w:pPr>
        <w:spacing w:before="120" w:after="120" w:line="240" w:lineRule="auto"/>
        <w:rPr>
          <w:rFonts w:cs="Arial"/>
          <w:color w:val="303030"/>
          <w:lang w:val="it-IT"/>
        </w:rPr>
      </w:pPr>
      <w:r w:rsidRPr="0067198F">
        <w:rPr>
          <w:rFonts w:cs="Arial"/>
          <w:b/>
          <w:color w:val="303030"/>
          <w:highlight w:val="yellow"/>
          <w:lang w:val="it-IT"/>
        </w:rPr>
        <w:t xml:space="preserve">VINCITRICE PREMIO SPECIALE „COSÌ GUIDA IL </w:t>
      </w:r>
      <w:proofErr w:type="gramStart"/>
      <w:r w:rsidRPr="0067198F">
        <w:rPr>
          <w:rFonts w:cs="Arial"/>
          <w:b/>
          <w:color w:val="303030"/>
          <w:highlight w:val="yellow"/>
          <w:lang w:val="it-IT"/>
        </w:rPr>
        <w:t>TIROLO“</w:t>
      </w:r>
      <w:proofErr w:type="gramEnd"/>
      <w:r w:rsidRPr="0067198F">
        <w:rPr>
          <w:rFonts w:cs="Arial"/>
          <w:b/>
          <w:color w:val="303030"/>
          <w:highlight w:val="yellow"/>
          <w:lang w:val="it-IT"/>
        </w:rPr>
        <w:t>: 2000 EURO</w:t>
      </w:r>
      <w:r w:rsidRPr="0067198F">
        <w:rPr>
          <w:rFonts w:cs="Arial"/>
          <w:b/>
          <w:color w:val="303030"/>
          <w:lang w:val="it-IT"/>
        </w:rPr>
        <w:br/>
      </w:r>
      <w:r w:rsidR="004C73E7" w:rsidRPr="0067198F">
        <w:rPr>
          <w:rFonts w:cs="Arial"/>
          <w:b/>
          <w:color w:val="303030"/>
          <w:lang w:val="it-IT"/>
        </w:rPr>
        <w:t xml:space="preserve">Verena Schallhart, </w:t>
      </w:r>
      <w:proofErr w:type="spellStart"/>
      <w:r w:rsidR="004C73E7" w:rsidRPr="0067198F">
        <w:rPr>
          <w:rFonts w:cs="Arial"/>
          <w:b/>
          <w:color w:val="303030"/>
          <w:lang w:val="it-IT"/>
        </w:rPr>
        <w:t>MSc</w:t>
      </w:r>
      <w:proofErr w:type="spellEnd"/>
      <w:r w:rsidR="004C73E7" w:rsidRPr="0067198F">
        <w:rPr>
          <w:rFonts w:cs="Arial"/>
          <w:color w:val="303030"/>
          <w:lang w:val="it-IT"/>
        </w:rPr>
        <w:t xml:space="preserve"> (MCI Management Center Innsbruck)</w:t>
      </w:r>
    </w:p>
    <w:p w:rsidR="004C73E7" w:rsidRPr="00F85F67" w:rsidRDefault="004C73E7" w:rsidP="004C73E7">
      <w:pPr>
        <w:spacing w:before="120" w:after="120" w:line="240" w:lineRule="auto"/>
        <w:rPr>
          <w:rFonts w:cs="Arial"/>
          <w:color w:val="303030"/>
          <w:lang w:val="it-IT"/>
        </w:rPr>
      </w:pPr>
      <w:r w:rsidRPr="00F85F67">
        <w:rPr>
          <w:rFonts w:cs="Arial"/>
          <w:color w:val="303030"/>
          <w:lang w:val="it-IT"/>
        </w:rPr>
        <w:t xml:space="preserve">Verena Schallhart, </w:t>
      </w:r>
      <w:proofErr w:type="spellStart"/>
      <w:r w:rsidRPr="00F85F67">
        <w:rPr>
          <w:rFonts w:cs="Arial"/>
          <w:color w:val="303030"/>
          <w:lang w:val="it-IT"/>
        </w:rPr>
        <w:t>MSc</w:t>
      </w:r>
      <w:proofErr w:type="spellEnd"/>
      <w:r w:rsidRPr="00F85F67">
        <w:rPr>
          <w:rFonts w:cs="Arial"/>
          <w:color w:val="303030"/>
          <w:lang w:val="it-IT"/>
        </w:rPr>
        <w:t>, nel suo elaborato “</w:t>
      </w:r>
      <w:proofErr w:type="spellStart"/>
      <w:r w:rsidRPr="00F85F67">
        <w:rPr>
          <w:rFonts w:cs="Arial"/>
          <w:color w:val="303030"/>
          <w:lang w:val="it-IT"/>
        </w:rPr>
        <w:t>NOx-Reduction</w:t>
      </w:r>
      <w:proofErr w:type="spellEnd"/>
      <w:r w:rsidRPr="00F85F67">
        <w:rPr>
          <w:rFonts w:cs="Arial"/>
          <w:color w:val="303030"/>
          <w:lang w:val="it-IT"/>
        </w:rPr>
        <w:t xml:space="preserve"> in Alpine </w:t>
      </w:r>
      <w:proofErr w:type="spellStart"/>
      <w:r w:rsidRPr="00F85F67">
        <w:rPr>
          <w:rFonts w:cs="Arial"/>
          <w:color w:val="303030"/>
          <w:lang w:val="it-IT"/>
        </w:rPr>
        <w:t>Regions</w:t>
      </w:r>
      <w:proofErr w:type="spellEnd"/>
      <w:r w:rsidRPr="00F85F67">
        <w:rPr>
          <w:rFonts w:cs="Arial"/>
          <w:color w:val="303030"/>
          <w:lang w:val="it-IT"/>
        </w:rPr>
        <w:t xml:space="preserve">” si occupa della riduzione di emissioni inquinanti i quali vengono diffusi dagli autobus a diesel. Il suo studio in particolare esplora con diverse investigazioni sperimentali e numeriche come poter ridurre le emissioni di inquinanti grazie alla conversione </w:t>
      </w:r>
      <w:proofErr w:type="spellStart"/>
      <w:r w:rsidRPr="00F85F67">
        <w:rPr>
          <w:rFonts w:cs="Arial"/>
          <w:color w:val="303030"/>
          <w:lang w:val="it-IT"/>
        </w:rPr>
        <w:t>NOx</w:t>
      </w:r>
      <w:proofErr w:type="spellEnd"/>
      <w:r w:rsidRPr="00F85F67">
        <w:rPr>
          <w:rFonts w:cs="Arial"/>
          <w:color w:val="303030"/>
          <w:lang w:val="it-IT"/>
        </w:rPr>
        <w:t xml:space="preserve"> di catalizzatori SCR per diversi cicli di guida di autobus nelle regioni alpine.</w:t>
      </w:r>
    </w:p>
    <w:p w:rsidR="004C73E7" w:rsidRPr="00F85F67" w:rsidRDefault="004C73E7" w:rsidP="004C73E7">
      <w:pPr>
        <w:autoSpaceDE w:val="0"/>
        <w:autoSpaceDN w:val="0"/>
        <w:adjustRightInd w:val="0"/>
        <w:spacing w:before="120" w:after="120" w:line="240" w:lineRule="auto"/>
        <w:rPr>
          <w:lang w:val="it-IT"/>
        </w:rPr>
      </w:pPr>
    </w:p>
    <w:p w:rsidR="004C73E7" w:rsidRPr="00F85F67" w:rsidRDefault="004C73E7" w:rsidP="004C73E7">
      <w:pPr>
        <w:spacing w:before="120" w:after="120" w:line="240" w:lineRule="auto"/>
        <w:rPr>
          <w:color w:val="303030"/>
          <w:lang w:val="it-IT"/>
        </w:rPr>
      </w:pPr>
      <w:r w:rsidRPr="004C73E7">
        <w:rPr>
          <w:b/>
          <w:color w:val="303030"/>
          <w:lang w:val="it-IT"/>
        </w:rPr>
        <w:t>Daniel Tonelli</w:t>
      </w:r>
      <w:r w:rsidRPr="00F85F67">
        <w:rPr>
          <w:color w:val="303030"/>
          <w:lang w:val="it-IT"/>
        </w:rPr>
        <w:t>, dottorando (Università di Trento, Scuola di dottorato in Ingegneria civile, ambientale e meccanica)</w:t>
      </w:r>
    </w:p>
    <w:p w:rsidR="004C73E7" w:rsidRPr="00F85F67" w:rsidRDefault="004C73E7" w:rsidP="004C73E7">
      <w:pPr>
        <w:spacing w:before="120" w:after="120" w:line="240" w:lineRule="auto"/>
        <w:rPr>
          <w:color w:val="303030"/>
          <w:lang w:val="it-IT"/>
        </w:rPr>
      </w:pPr>
      <w:r w:rsidRPr="00F85F67">
        <w:rPr>
          <w:color w:val="303030"/>
          <w:lang w:val="it-IT"/>
        </w:rPr>
        <w:t>Daniel Tonelli nel suo progetto di ricerca intitolato “</w:t>
      </w:r>
      <w:proofErr w:type="spellStart"/>
      <w:r w:rsidRPr="00F85F67">
        <w:rPr>
          <w:color w:val="303030"/>
          <w:lang w:val="it-IT"/>
        </w:rPr>
        <w:t>Monitoring-based</w:t>
      </w:r>
      <w:proofErr w:type="spellEnd"/>
      <w:r w:rsidRPr="00F85F67">
        <w:rPr>
          <w:color w:val="303030"/>
          <w:lang w:val="it-IT"/>
        </w:rPr>
        <w:t xml:space="preserve"> </w:t>
      </w:r>
      <w:proofErr w:type="spellStart"/>
      <w:r w:rsidRPr="00F85F67">
        <w:rPr>
          <w:color w:val="303030"/>
          <w:lang w:val="it-IT"/>
        </w:rPr>
        <w:t>Decision</w:t>
      </w:r>
      <w:proofErr w:type="spellEnd"/>
      <w:r w:rsidRPr="00F85F67">
        <w:rPr>
          <w:color w:val="303030"/>
          <w:lang w:val="it-IT"/>
        </w:rPr>
        <w:t xml:space="preserve"> </w:t>
      </w:r>
      <w:proofErr w:type="spellStart"/>
      <w:r w:rsidRPr="00F85F67">
        <w:rPr>
          <w:color w:val="303030"/>
          <w:lang w:val="it-IT"/>
        </w:rPr>
        <w:t>Support</w:t>
      </w:r>
      <w:proofErr w:type="spellEnd"/>
      <w:r w:rsidRPr="00F85F67">
        <w:rPr>
          <w:color w:val="303030"/>
          <w:lang w:val="it-IT"/>
        </w:rPr>
        <w:t xml:space="preserve"> System for </w:t>
      </w:r>
      <w:proofErr w:type="spellStart"/>
      <w:r w:rsidRPr="00F85F67">
        <w:rPr>
          <w:color w:val="303030"/>
          <w:lang w:val="it-IT"/>
        </w:rPr>
        <w:t>optimal</w:t>
      </w:r>
      <w:proofErr w:type="spellEnd"/>
      <w:r w:rsidRPr="00F85F67">
        <w:rPr>
          <w:color w:val="303030"/>
          <w:lang w:val="it-IT"/>
        </w:rPr>
        <w:t xml:space="preserve"> management of Colle Isarco – </w:t>
      </w:r>
      <w:proofErr w:type="spellStart"/>
      <w:r w:rsidRPr="00F85F67">
        <w:rPr>
          <w:color w:val="303030"/>
          <w:lang w:val="it-IT"/>
        </w:rPr>
        <w:t>Gossensass</w:t>
      </w:r>
      <w:proofErr w:type="spellEnd"/>
      <w:r w:rsidRPr="00F85F67">
        <w:rPr>
          <w:color w:val="303030"/>
          <w:lang w:val="it-IT"/>
        </w:rPr>
        <w:t xml:space="preserve"> </w:t>
      </w:r>
      <w:proofErr w:type="spellStart"/>
      <w:r w:rsidRPr="00F85F67">
        <w:rPr>
          <w:color w:val="303030"/>
          <w:lang w:val="it-IT"/>
        </w:rPr>
        <w:t>Viaduct</w:t>
      </w:r>
      <w:proofErr w:type="spellEnd"/>
      <w:r w:rsidRPr="00F85F67">
        <w:rPr>
          <w:color w:val="303030"/>
          <w:lang w:val="it-IT"/>
        </w:rPr>
        <w:t xml:space="preserve">” elabora ulteriormente il lavoro iniziato precedentemente durante il suo master, in collaborazione con l’Autostrada del Brennero Spa. In tale elaborato egli propone e progetta un innovativo sistema di supporto di decisioni (DSS- </w:t>
      </w:r>
      <w:proofErr w:type="spellStart"/>
      <w:r w:rsidRPr="00F85F67">
        <w:rPr>
          <w:color w:val="303030"/>
          <w:lang w:val="it-IT"/>
        </w:rPr>
        <w:t>decision</w:t>
      </w:r>
      <w:proofErr w:type="spellEnd"/>
      <w:r w:rsidRPr="00F85F67">
        <w:rPr>
          <w:color w:val="303030"/>
          <w:lang w:val="it-IT"/>
        </w:rPr>
        <w:t xml:space="preserve"> </w:t>
      </w:r>
      <w:proofErr w:type="spellStart"/>
      <w:r w:rsidRPr="00F85F67">
        <w:rPr>
          <w:color w:val="303030"/>
          <w:lang w:val="it-IT"/>
        </w:rPr>
        <w:t>support</w:t>
      </w:r>
      <w:proofErr w:type="spellEnd"/>
      <w:r w:rsidRPr="00F85F67">
        <w:rPr>
          <w:color w:val="303030"/>
          <w:lang w:val="it-IT"/>
        </w:rPr>
        <w:t xml:space="preserve"> </w:t>
      </w:r>
      <w:proofErr w:type="spellStart"/>
      <w:r w:rsidRPr="00F85F67">
        <w:rPr>
          <w:color w:val="303030"/>
          <w:lang w:val="it-IT"/>
        </w:rPr>
        <w:t>system</w:t>
      </w:r>
      <w:proofErr w:type="spellEnd"/>
      <w:r w:rsidRPr="00F85F67">
        <w:rPr>
          <w:color w:val="303030"/>
          <w:lang w:val="it-IT"/>
        </w:rPr>
        <w:t>) per ottimizzare la gestione del Viadotto A22 Colle Isarco-</w:t>
      </w:r>
      <w:proofErr w:type="spellStart"/>
      <w:r w:rsidRPr="00F85F67">
        <w:rPr>
          <w:color w:val="303030"/>
          <w:lang w:val="it-IT"/>
        </w:rPr>
        <w:t>Gossensass</w:t>
      </w:r>
      <w:proofErr w:type="spellEnd"/>
      <w:r w:rsidRPr="00F85F67">
        <w:rPr>
          <w:color w:val="303030"/>
          <w:lang w:val="it-IT"/>
        </w:rPr>
        <w:t xml:space="preserve"> dopo un possibile danneggiamento, basandosi su un sistema di monitoraggio strutturale multi tecnologico. Scopo è aiutare il proprietario ad ottimizzare la gestione del traffico lungo l’autostrada A22 </w:t>
      </w:r>
      <w:r w:rsidRPr="00F85F67">
        <w:rPr>
          <w:color w:val="303030"/>
          <w:lang w:val="it-IT"/>
        </w:rPr>
        <w:lastRenderedPageBreak/>
        <w:t xml:space="preserve">aumentando allo stesso tempo la sicurezza degli utenti e riducendo i costi di mantenimento del ponte. </w:t>
      </w:r>
    </w:p>
    <w:p w:rsidR="004C73E7" w:rsidRPr="004C73E7" w:rsidRDefault="004C73E7" w:rsidP="0098220D">
      <w:pPr>
        <w:spacing w:before="120" w:after="120" w:line="240" w:lineRule="auto"/>
        <w:rPr>
          <w:rFonts w:cs="Arial"/>
          <w:color w:val="303030"/>
          <w:lang w:val="it-IT"/>
        </w:rPr>
      </w:pPr>
    </w:p>
    <w:p w:rsidR="004C73E7" w:rsidRPr="004C73E7" w:rsidRDefault="004C73E7" w:rsidP="0098220D">
      <w:pPr>
        <w:spacing w:before="120" w:after="120" w:line="240" w:lineRule="auto"/>
        <w:rPr>
          <w:rFonts w:cs="Arial"/>
          <w:color w:val="303030"/>
          <w:lang w:val="it-IT"/>
        </w:rPr>
      </w:pPr>
    </w:p>
    <w:p w:rsidR="004C73E7" w:rsidRPr="00D31DD7" w:rsidRDefault="00D31DD7" w:rsidP="0098220D">
      <w:pPr>
        <w:spacing w:before="120" w:after="120" w:line="240" w:lineRule="auto"/>
        <w:rPr>
          <w:rFonts w:cs="Arial"/>
          <w:b/>
          <w:color w:val="303030"/>
          <w:sz w:val="24"/>
          <w:szCs w:val="24"/>
          <w:lang w:val="it-IT"/>
        </w:rPr>
      </w:pPr>
      <w:r w:rsidRPr="00D31DD7">
        <w:rPr>
          <w:rFonts w:cs="Arial"/>
          <w:b/>
          <w:color w:val="303030"/>
          <w:sz w:val="24"/>
          <w:szCs w:val="24"/>
          <w:lang w:val="it-IT"/>
        </w:rPr>
        <w:t xml:space="preserve">Categoria 2 </w:t>
      </w:r>
      <w:r w:rsidR="004C73E7" w:rsidRPr="00D31DD7">
        <w:rPr>
          <w:rFonts w:cs="Arial"/>
          <w:b/>
          <w:color w:val="303030"/>
          <w:sz w:val="24"/>
          <w:szCs w:val="24"/>
          <w:lang w:val="it-IT"/>
        </w:rPr>
        <w:t>„</w:t>
      </w:r>
      <w:r w:rsidRPr="00D31DD7">
        <w:rPr>
          <w:rFonts w:cs="Arial"/>
          <w:b/>
          <w:color w:val="303030"/>
          <w:sz w:val="24"/>
          <w:szCs w:val="24"/>
          <w:lang w:val="it-IT"/>
        </w:rPr>
        <w:t xml:space="preserve">Messa in rete - diritto, società e </w:t>
      </w:r>
      <w:proofErr w:type="gramStart"/>
      <w:r w:rsidRPr="00D31DD7">
        <w:rPr>
          <w:rFonts w:cs="Arial"/>
          <w:b/>
          <w:color w:val="303030"/>
          <w:sz w:val="24"/>
          <w:szCs w:val="24"/>
          <w:lang w:val="it-IT"/>
        </w:rPr>
        <w:t>amministrazione</w:t>
      </w:r>
      <w:r w:rsidR="004C73E7" w:rsidRPr="00D31DD7">
        <w:rPr>
          <w:rFonts w:cs="Arial"/>
          <w:b/>
          <w:color w:val="303030"/>
          <w:sz w:val="24"/>
          <w:szCs w:val="24"/>
          <w:lang w:val="it-IT"/>
        </w:rPr>
        <w:t>“</w:t>
      </w:r>
      <w:proofErr w:type="gramEnd"/>
    </w:p>
    <w:p w:rsidR="00D31DD7" w:rsidRDefault="00D31DD7" w:rsidP="004C73E7">
      <w:pPr>
        <w:spacing w:before="120" w:after="120" w:line="240" w:lineRule="auto"/>
        <w:rPr>
          <w:rFonts w:cs="Arial"/>
          <w:b/>
          <w:color w:val="303030"/>
          <w:lang w:val="it-IT"/>
        </w:rPr>
      </w:pPr>
    </w:p>
    <w:p w:rsidR="004C73E7" w:rsidRPr="004C73E7" w:rsidRDefault="0067198F" w:rsidP="004C73E7">
      <w:pPr>
        <w:spacing w:before="120" w:after="120" w:line="240" w:lineRule="auto"/>
        <w:rPr>
          <w:rFonts w:cs="Arial"/>
          <w:color w:val="303030"/>
          <w:lang w:val="it-IT"/>
        </w:rPr>
      </w:pPr>
      <w:r w:rsidRPr="0067198F">
        <w:rPr>
          <w:rFonts w:cs="Arial"/>
          <w:b/>
          <w:color w:val="303030"/>
          <w:highlight w:val="yellow"/>
          <w:lang w:val="it-IT"/>
        </w:rPr>
        <w:t>VINCITRICE 3° POSTO: 500 EURO</w:t>
      </w:r>
      <w:r>
        <w:rPr>
          <w:rFonts w:cs="Arial"/>
          <w:b/>
          <w:color w:val="303030"/>
          <w:lang w:val="it-IT"/>
        </w:rPr>
        <w:br/>
      </w:r>
      <w:r w:rsidR="004C73E7" w:rsidRPr="004C73E7">
        <w:rPr>
          <w:rFonts w:cs="Arial"/>
          <w:b/>
          <w:color w:val="303030"/>
          <w:lang w:val="it-IT"/>
        </w:rPr>
        <w:t>Melanie Plangger</w:t>
      </w:r>
      <w:r w:rsidR="004C73E7" w:rsidRPr="004C73E7">
        <w:rPr>
          <w:rFonts w:cs="Arial"/>
          <w:color w:val="303030"/>
          <w:lang w:val="it-IT"/>
        </w:rPr>
        <w:t xml:space="preserve">, </w:t>
      </w:r>
      <w:proofErr w:type="spellStart"/>
      <w:r w:rsidR="004C73E7" w:rsidRPr="004C73E7">
        <w:rPr>
          <w:rFonts w:cs="Arial"/>
          <w:color w:val="303030"/>
          <w:lang w:val="it-IT"/>
        </w:rPr>
        <w:t>MSc</w:t>
      </w:r>
      <w:proofErr w:type="spellEnd"/>
      <w:r w:rsidR="004C73E7" w:rsidRPr="004C73E7">
        <w:rPr>
          <w:rFonts w:cs="Arial"/>
          <w:color w:val="303030"/>
          <w:lang w:val="it-IT"/>
        </w:rPr>
        <w:t xml:space="preserve"> (Università di Innsbruck, dipartimento di scienze politiche)</w:t>
      </w:r>
    </w:p>
    <w:p w:rsidR="004C73E7" w:rsidRPr="007E3D81" w:rsidRDefault="004C73E7" w:rsidP="004C73E7">
      <w:pPr>
        <w:spacing w:before="120" w:after="120" w:line="240" w:lineRule="auto"/>
        <w:rPr>
          <w:rFonts w:cs="Arial"/>
          <w:color w:val="303030"/>
          <w:lang w:val="it-IT"/>
        </w:rPr>
      </w:pPr>
      <w:r w:rsidRPr="00F85F67">
        <w:rPr>
          <w:rFonts w:cs="Arial"/>
          <w:color w:val="303030"/>
          <w:lang w:val="it-IT"/>
        </w:rPr>
        <w:t xml:space="preserve">Melanie Plangger, </w:t>
      </w:r>
      <w:proofErr w:type="spellStart"/>
      <w:r w:rsidRPr="00F85F67">
        <w:rPr>
          <w:rFonts w:cs="Arial"/>
          <w:color w:val="303030"/>
          <w:lang w:val="it-IT"/>
        </w:rPr>
        <w:t>MSc</w:t>
      </w:r>
      <w:proofErr w:type="spellEnd"/>
      <w:r w:rsidRPr="00F85F67">
        <w:rPr>
          <w:rFonts w:cs="Arial"/>
          <w:color w:val="303030"/>
          <w:lang w:val="it-IT"/>
        </w:rPr>
        <w:t>, nel suo lavoro dal titolo “</w:t>
      </w:r>
      <w:proofErr w:type="spellStart"/>
      <w:r w:rsidRPr="00F85F67">
        <w:rPr>
          <w:rFonts w:cs="Arial"/>
          <w:color w:val="303030"/>
          <w:lang w:val="it-IT"/>
        </w:rPr>
        <w:t>Exploring</w:t>
      </w:r>
      <w:proofErr w:type="spellEnd"/>
      <w:r w:rsidRPr="00F85F67">
        <w:rPr>
          <w:rFonts w:cs="Arial"/>
          <w:color w:val="303030"/>
          <w:lang w:val="it-IT"/>
        </w:rPr>
        <w:t xml:space="preserve"> the </w:t>
      </w:r>
      <w:proofErr w:type="spellStart"/>
      <w:r w:rsidRPr="00F85F67">
        <w:rPr>
          <w:rFonts w:cs="Arial"/>
          <w:color w:val="303030"/>
          <w:lang w:val="it-IT"/>
        </w:rPr>
        <w:t>role</w:t>
      </w:r>
      <w:proofErr w:type="spellEnd"/>
      <w:r w:rsidRPr="00F85F67">
        <w:rPr>
          <w:rFonts w:cs="Arial"/>
          <w:color w:val="303030"/>
          <w:lang w:val="it-IT"/>
        </w:rPr>
        <w:t xml:space="preserve"> of </w:t>
      </w:r>
      <w:proofErr w:type="spellStart"/>
      <w:r w:rsidRPr="00F85F67">
        <w:rPr>
          <w:rFonts w:cs="Arial"/>
          <w:color w:val="303030"/>
          <w:lang w:val="it-IT"/>
        </w:rPr>
        <w:t>regional</w:t>
      </w:r>
      <w:proofErr w:type="spellEnd"/>
      <w:r w:rsidRPr="00F85F67">
        <w:rPr>
          <w:rFonts w:cs="Arial"/>
          <w:color w:val="303030"/>
          <w:lang w:val="it-IT"/>
        </w:rPr>
        <w:t xml:space="preserve"> </w:t>
      </w:r>
      <w:proofErr w:type="spellStart"/>
      <w:r w:rsidRPr="00F85F67">
        <w:rPr>
          <w:rFonts w:cs="Arial"/>
          <w:color w:val="303030"/>
          <w:lang w:val="it-IT"/>
        </w:rPr>
        <w:t>authorities</w:t>
      </w:r>
      <w:proofErr w:type="spellEnd"/>
      <w:r w:rsidRPr="00F85F67">
        <w:rPr>
          <w:rFonts w:cs="Arial"/>
          <w:color w:val="303030"/>
          <w:lang w:val="it-IT"/>
        </w:rPr>
        <w:t xml:space="preserve"> in </w:t>
      </w:r>
      <w:proofErr w:type="spellStart"/>
      <w:r w:rsidRPr="00F85F67">
        <w:rPr>
          <w:rFonts w:cs="Arial"/>
          <w:color w:val="303030"/>
          <w:lang w:val="it-IT"/>
        </w:rPr>
        <w:t>territorial</w:t>
      </w:r>
      <w:proofErr w:type="spellEnd"/>
      <w:r w:rsidRPr="00F85F67">
        <w:rPr>
          <w:rFonts w:cs="Arial"/>
          <w:color w:val="303030"/>
          <w:lang w:val="it-IT"/>
        </w:rPr>
        <w:t xml:space="preserve"> </w:t>
      </w:r>
      <w:proofErr w:type="spellStart"/>
      <w:r w:rsidRPr="00F85F67">
        <w:rPr>
          <w:rFonts w:cs="Arial"/>
          <w:color w:val="303030"/>
          <w:lang w:val="it-IT"/>
        </w:rPr>
        <w:t>cooperation</w:t>
      </w:r>
      <w:proofErr w:type="spellEnd"/>
      <w:r w:rsidRPr="00F85F67">
        <w:rPr>
          <w:rFonts w:cs="Arial"/>
          <w:color w:val="303030"/>
          <w:lang w:val="it-IT"/>
        </w:rPr>
        <w:t xml:space="preserve">” elabora l’influsso delle regioni sulla collaborazione a livello </w:t>
      </w:r>
      <w:proofErr w:type="spellStart"/>
      <w:r w:rsidRPr="00F85F67">
        <w:rPr>
          <w:rFonts w:cs="Arial"/>
          <w:color w:val="303030"/>
          <w:lang w:val="it-IT"/>
        </w:rPr>
        <w:t>euregionale</w:t>
      </w:r>
      <w:proofErr w:type="spellEnd"/>
      <w:r w:rsidRPr="00F85F67">
        <w:rPr>
          <w:rFonts w:cs="Arial"/>
          <w:color w:val="303030"/>
          <w:lang w:val="it-IT"/>
        </w:rPr>
        <w:t xml:space="preserve">. Oltre a ciò analizza in che modo le regioni possano trarre profitto da tale cooperazione. In particolare analizza il ruolo dei </w:t>
      </w:r>
      <w:proofErr w:type="spellStart"/>
      <w:r w:rsidRPr="007E3D81">
        <w:rPr>
          <w:rFonts w:cs="Arial"/>
          <w:i/>
          <w:color w:val="303030"/>
          <w:lang w:val="it-IT"/>
        </w:rPr>
        <w:t>Bundesländer</w:t>
      </w:r>
      <w:proofErr w:type="spellEnd"/>
      <w:r w:rsidRPr="00F85F67">
        <w:rPr>
          <w:rFonts w:cs="Arial"/>
          <w:color w:val="303030"/>
          <w:lang w:val="it-IT"/>
        </w:rPr>
        <w:t xml:space="preserve"> in Austria e Germania, delle </w:t>
      </w:r>
      <w:proofErr w:type="spellStart"/>
      <w:r w:rsidRPr="007E3D81">
        <w:rPr>
          <w:rFonts w:cs="Arial"/>
          <w:i/>
          <w:color w:val="303030"/>
          <w:lang w:val="it-IT"/>
        </w:rPr>
        <w:t>régions</w:t>
      </w:r>
      <w:proofErr w:type="spellEnd"/>
      <w:r w:rsidRPr="00F85F67">
        <w:rPr>
          <w:rFonts w:cs="Arial"/>
          <w:color w:val="303030"/>
          <w:lang w:val="it-IT"/>
        </w:rPr>
        <w:t xml:space="preserve"> in Francia, delle </w:t>
      </w:r>
      <w:r w:rsidRPr="007E3D81">
        <w:rPr>
          <w:rFonts w:cs="Arial"/>
          <w:i/>
          <w:color w:val="303030"/>
          <w:lang w:val="it-IT"/>
        </w:rPr>
        <w:t>province</w:t>
      </w:r>
      <w:r w:rsidRPr="00F85F67">
        <w:rPr>
          <w:rFonts w:cs="Arial"/>
          <w:color w:val="303030"/>
          <w:lang w:val="it-IT"/>
        </w:rPr>
        <w:t xml:space="preserve"> in Italia e dei </w:t>
      </w:r>
      <w:r w:rsidRPr="007E3D81">
        <w:rPr>
          <w:rFonts w:cs="Arial"/>
          <w:i/>
          <w:color w:val="303030"/>
          <w:lang w:val="it-IT"/>
        </w:rPr>
        <w:t>cantoni</w:t>
      </w:r>
      <w:r w:rsidRPr="00F85F67">
        <w:rPr>
          <w:rFonts w:cs="Arial"/>
          <w:color w:val="303030"/>
          <w:lang w:val="it-IT"/>
        </w:rPr>
        <w:t xml:space="preserve"> svizzeri nelle strategie </w:t>
      </w:r>
      <w:proofErr w:type="spellStart"/>
      <w:r w:rsidRPr="00F85F67">
        <w:rPr>
          <w:rFonts w:cs="Arial"/>
          <w:color w:val="303030"/>
          <w:lang w:val="it-IT"/>
        </w:rPr>
        <w:t>macroregionali</w:t>
      </w:r>
      <w:proofErr w:type="spellEnd"/>
      <w:r w:rsidRPr="00F85F67">
        <w:rPr>
          <w:rFonts w:cs="Arial"/>
          <w:color w:val="303030"/>
          <w:lang w:val="it-IT"/>
        </w:rPr>
        <w:t xml:space="preserve"> per l’arco alpino.</w:t>
      </w:r>
    </w:p>
    <w:p w:rsidR="004C73E7" w:rsidRPr="00F85F67" w:rsidRDefault="004C73E7" w:rsidP="004C73E7">
      <w:pPr>
        <w:pStyle w:val="Default"/>
        <w:spacing w:before="120" w:after="120"/>
        <w:rPr>
          <w:rFonts w:asciiTheme="minorHAnsi" w:hAnsiTheme="minorHAnsi" w:cstheme="minorBidi"/>
          <w:color w:val="auto"/>
          <w:sz w:val="22"/>
          <w:szCs w:val="22"/>
          <w:lang w:val="it-IT"/>
        </w:rPr>
      </w:pPr>
    </w:p>
    <w:p w:rsidR="004C73E7" w:rsidRPr="00D31DD7" w:rsidRDefault="00D31DD7" w:rsidP="0098220D">
      <w:pPr>
        <w:spacing w:before="120" w:after="120" w:line="240" w:lineRule="auto"/>
        <w:rPr>
          <w:rFonts w:cs="Arial"/>
          <w:b/>
          <w:color w:val="303030"/>
          <w:sz w:val="24"/>
          <w:szCs w:val="24"/>
          <w:lang w:val="it-IT"/>
        </w:rPr>
      </w:pPr>
      <w:r w:rsidRPr="00D31DD7">
        <w:rPr>
          <w:rFonts w:cs="Arial"/>
          <w:b/>
          <w:color w:val="303030"/>
          <w:sz w:val="24"/>
          <w:szCs w:val="24"/>
          <w:lang w:val="it-IT"/>
        </w:rPr>
        <w:t xml:space="preserve">Categoria 3 </w:t>
      </w:r>
      <w:r w:rsidR="004C73E7" w:rsidRPr="00D31DD7">
        <w:rPr>
          <w:rFonts w:cs="Arial"/>
          <w:b/>
          <w:color w:val="303030"/>
          <w:sz w:val="24"/>
          <w:szCs w:val="24"/>
          <w:lang w:val="it-IT"/>
        </w:rPr>
        <w:t>„</w:t>
      </w:r>
      <w:r w:rsidRPr="00D31DD7">
        <w:rPr>
          <w:rFonts w:cs="Arial"/>
          <w:b/>
          <w:color w:val="303030"/>
          <w:sz w:val="24"/>
          <w:szCs w:val="24"/>
          <w:lang w:val="it-IT"/>
        </w:rPr>
        <w:t xml:space="preserve">Innovazioni economiche e </w:t>
      </w:r>
      <w:proofErr w:type="gramStart"/>
      <w:r w:rsidRPr="00D31DD7">
        <w:rPr>
          <w:rFonts w:cs="Arial"/>
          <w:b/>
          <w:color w:val="303030"/>
          <w:sz w:val="24"/>
          <w:szCs w:val="24"/>
          <w:lang w:val="it-IT"/>
        </w:rPr>
        <w:t>tecnologiche</w:t>
      </w:r>
      <w:r w:rsidR="004C73E7" w:rsidRPr="00D31DD7">
        <w:rPr>
          <w:rFonts w:cs="Arial"/>
          <w:b/>
          <w:color w:val="303030"/>
          <w:sz w:val="24"/>
          <w:szCs w:val="24"/>
          <w:lang w:val="it-IT"/>
        </w:rPr>
        <w:t>“</w:t>
      </w:r>
      <w:proofErr w:type="gramEnd"/>
    </w:p>
    <w:p w:rsidR="004C73E7" w:rsidRPr="00D31DD7" w:rsidRDefault="004C73E7" w:rsidP="0098220D">
      <w:pPr>
        <w:spacing w:before="120" w:after="120" w:line="240" w:lineRule="auto"/>
        <w:rPr>
          <w:rFonts w:cs="Arial"/>
          <w:color w:val="303030"/>
          <w:lang w:val="it-IT"/>
        </w:rPr>
      </w:pPr>
    </w:p>
    <w:p w:rsidR="004C73E7" w:rsidRPr="00F85F67" w:rsidRDefault="0067198F" w:rsidP="004C73E7">
      <w:pPr>
        <w:spacing w:before="120" w:after="120" w:line="240" w:lineRule="auto"/>
        <w:rPr>
          <w:color w:val="303030"/>
          <w:lang w:val="it-IT"/>
        </w:rPr>
      </w:pPr>
      <w:r w:rsidRPr="0067198F">
        <w:rPr>
          <w:b/>
          <w:color w:val="303030"/>
          <w:highlight w:val="yellow"/>
          <w:lang w:val="it-IT"/>
        </w:rPr>
        <w:t>VINCITORE 2° POSTO: 1000 EURO</w:t>
      </w:r>
      <w:bookmarkStart w:id="0" w:name="_GoBack"/>
      <w:bookmarkEnd w:id="0"/>
      <w:r>
        <w:rPr>
          <w:b/>
          <w:color w:val="303030"/>
          <w:lang w:val="it-IT"/>
        </w:rPr>
        <w:br/>
      </w:r>
      <w:proofErr w:type="spellStart"/>
      <w:proofErr w:type="gramStart"/>
      <w:r w:rsidR="004C73E7" w:rsidRPr="004C73E7">
        <w:rPr>
          <w:b/>
          <w:color w:val="303030"/>
          <w:lang w:val="it-IT"/>
        </w:rPr>
        <w:t>Dipl</w:t>
      </w:r>
      <w:proofErr w:type="spellEnd"/>
      <w:r w:rsidR="004C73E7" w:rsidRPr="004C73E7">
        <w:rPr>
          <w:b/>
          <w:color w:val="303030"/>
          <w:lang w:val="it-IT"/>
        </w:rPr>
        <w:t>.-</w:t>
      </w:r>
      <w:proofErr w:type="gramEnd"/>
      <w:r w:rsidR="004C73E7" w:rsidRPr="004C73E7">
        <w:rPr>
          <w:b/>
          <w:color w:val="303030"/>
          <w:lang w:val="it-IT"/>
        </w:rPr>
        <w:t xml:space="preserve">Ing., </w:t>
      </w:r>
      <w:proofErr w:type="spellStart"/>
      <w:r w:rsidR="004C73E7" w:rsidRPr="004C73E7">
        <w:rPr>
          <w:b/>
          <w:color w:val="303030"/>
          <w:lang w:val="it-IT"/>
        </w:rPr>
        <w:t>BSc</w:t>
      </w:r>
      <w:proofErr w:type="spellEnd"/>
      <w:r w:rsidR="004C73E7" w:rsidRPr="004C73E7">
        <w:rPr>
          <w:b/>
          <w:color w:val="303030"/>
          <w:lang w:val="it-IT"/>
        </w:rPr>
        <w:t xml:space="preserve"> Johannes Lechner</w:t>
      </w:r>
      <w:r w:rsidR="004C73E7" w:rsidRPr="00F85F67">
        <w:rPr>
          <w:color w:val="303030"/>
          <w:lang w:val="it-IT"/>
        </w:rPr>
        <w:t xml:space="preserve"> (Università di Innsbruck, unità per costruzioni massicce e ponti)</w:t>
      </w:r>
    </w:p>
    <w:p w:rsidR="004C73E7" w:rsidRPr="00F85F67" w:rsidRDefault="004C73E7" w:rsidP="004C73E7">
      <w:pPr>
        <w:pStyle w:val="Default"/>
        <w:spacing w:before="120" w:after="120"/>
        <w:rPr>
          <w:rFonts w:asciiTheme="minorHAnsi" w:hAnsiTheme="minorHAnsi"/>
          <w:color w:val="303030"/>
          <w:sz w:val="22"/>
          <w:szCs w:val="22"/>
          <w:lang w:val="it-IT"/>
        </w:rPr>
      </w:pPr>
      <w:proofErr w:type="spellStart"/>
      <w:proofErr w:type="gramStart"/>
      <w:r w:rsidRPr="00F85F67">
        <w:rPr>
          <w:rFonts w:asciiTheme="minorHAnsi" w:hAnsiTheme="minorHAnsi"/>
          <w:color w:val="303030"/>
          <w:sz w:val="22"/>
          <w:szCs w:val="22"/>
          <w:lang w:val="it-IT"/>
        </w:rPr>
        <w:t>Dipl</w:t>
      </w:r>
      <w:proofErr w:type="spellEnd"/>
      <w:r w:rsidRPr="00F85F67">
        <w:rPr>
          <w:rFonts w:asciiTheme="minorHAnsi" w:hAnsiTheme="minorHAnsi"/>
          <w:color w:val="303030"/>
          <w:sz w:val="22"/>
          <w:szCs w:val="22"/>
          <w:lang w:val="it-IT"/>
        </w:rPr>
        <w:t>.-</w:t>
      </w:r>
      <w:proofErr w:type="gramEnd"/>
      <w:r w:rsidRPr="00F85F67">
        <w:rPr>
          <w:rFonts w:asciiTheme="minorHAnsi" w:hAnsiTheme="minorHAnsi"/>
          <w:color w:val="303030"/>
          <w:sz w:val="22"/>
          <w:szCs w:val="22"/>
          <w:lang w:val="it-IT"/>
        </w:rPr>
        <w:t xml:space="preserve">Ing., </w:t>
      </w:r>
      <w:proofErr w:type="spellStart"/>
      <w:r w:rsidRPr="00F85F67">
        <w:rPr>
          <w:rFonts w:asciiTheme="minorHAnsi" w:hAnsiTheme="minorHAnsi"/>
          <w:color w:val="303030"/>
          <w:sz w:val="22"/>
          <w:szCs w:val="22"/>
          <w:lang w:val="it-IT"/>
        </w:rPr>
        <w:t>BSc</w:t>
      </w:r>
      <w:proofErr w:type="spellEnd"/>
      <w:r w:rsidRPr="00F85F67">
        <w:rPr>
          <w:rFonts w:asciiTheme="minorHAnsi" w:hAnsiTheme="minorHAnsi"/>
          <w:color w:val="303030"/>
          <w:sz w:val="22"/>
          <w:szCs w:val="22"/>
          <w:lang w:val="it-IT"/>
        </w:rPr>
        <w:t xml:space="preserve"> Johannes Lechner nel suo lavoro intitolato “A new, </w:t>
      </w:r>
      <w:proofErr w:type="spellStart"/>
      <w:r w:rsidRPr="00F85F67">
        <w:rPr>
          <w:rFonts w:asciiTheme="minorHAnsi" w:hAnsiTheme="minorHAnsi"/>
          <w:color w:val="303030"/>
          <w:sz w:val="22"/>
          <w:szCs w:val="22"/>
          <w:lang w:val="it-IT"/>
        </w:rPr>
        <w:t>efficent</w:t>
      </w:r>
      <w:proofErr w:type="spellEnd"/>
      <w:r w:rsidRPr="00F85F67">
        <w:rPr>
          <w:rFonts w:asciiTheme="minorHAnsi" w:hAnsiTheme="minorHAnsi"/>
          <w:color w:val="303030"/>
          <w:sz w:val="22"/>
          <w:szCs w:val="22"/>
          <w:lang w:val="it-IT"/>
        </w:rPr>
        <w:t xml:space="preserve"> </w:t>
      </w:r>
      <w:proofErr w:type="spellStart"/>
      <w:r w:rsidRPr="00F85F67">
        <w:rPr>
          <w:rFonts w:asciiTheme="minorHAnsi" w:hAnsiTheme="minorHAnsi"/>
          <w:color w:val="303030"/>
          <w:sz w:val="22"/>
          <w:szCs w:val="22"/>
          <w:lang w:val="it-IT"/>
        </w:rPr>
        <w:t>shear</w:t>
      </w:r>
      <w:proofErr w:type="spellEnd"/>
      <w:r w:rsidRPr="00F85F67">
        <w:rPr>
          <w:rFonts w:asciiTheme="minorHAnsi" w:hAnsiTheme="minorHAnsi"/>
          <w:color w:val="303030"/>
          <w:sz w:val="22"/>
          <w:szCs w:val="22"/>
          <w:lang w:val="it-IT"/>
        </w:rPr>
        <w:t xml:space="preserve"> </w:t>
      </w:r>
      <w:proofErr w:type="spellStart"/>
      <w:r w:rsidRPr="00F85F67">
        <w:rPr>
          <w:rFonts w:asciiTheme="minorHAnsi" w:hAnsiTheme="minorHAnsi"/>
          <w:color w:val="303030"/>
          <w:sz w:val="22"/>
          <w:szCs w:val="22"/>
          <w:lang w:val="it-IT"/>
        </w:rPr>
        <w:t>strengthening</w:t>
      </w:r>
      <w:proofErr w:type="spellEnd"/>
      <w:r w:rsidRPr="00F85F67">
        <w:rPr>
          <w:rFonts w:asciiTheme="minorHAnsi" w:hAnsiTheme="minorHAnsi"/>
          <w:color w:val="303030"/>
          <w:sz w:val="22"/>
          <w:szCs w:val="22"/>
          <w:lang w:val="it-IT"/>
        </w:rPr>
        <w:t xml:space="preserve"> </w:t>
      </w:r>
      <w:proofErr w:type="spellStart"/>
      <w:r w:rsidRPr="00F85F67">
        <w:rPr>
          <w:rFonts w:asciiTheme="minorHAnsi" w:hAnsiTheme="minorHAnsi"/>
          <w:color w:val="303030"/>
          <w:sz w:val="22"/>
          <w:szCs w:val="22"/>
          <w:lang w:val="it-IT"/>
        </w:rPr>
        <w:t>system</w:t>
      </w:r>
      <w:proofErr w:type="spellEnd"/>
      <w:r w:rsidRPr="00F85F67">
        <w:rPr>
          <w:rFonts w:asciiTheme="minorHAnsi" w:hAnsiTheme="minorHAnsi"/>
          <w:color w:val="303030"/>
          <w:sz w:val="22"/>
          <w:szCs w:val="22"/>
          <w:lang w:val="it-IT"/>
        </w:rPr>
        <w:t xml:space="preserve"> for concrete </w:t>
      </w:r>
      <w:proofErr w:type="spellStart"/>
      <w:r w:rsidRPr="00F85F67">
        <w:rPr>
          <w:rFonts w:asciiTheme="minorHAnsi" w:hAnsiTheme="minorHAnsi"/>
          <w:color w:val="303030"/>
          <w:sz w:val="22"/>
          <w:szCs w:val="22"/>
          <w:lang w:val="it-IT"/>
        </w:rPr>
        <w:t>bridges</w:t>
      </w:r>
      <w:proofErr w:type="spellEnd"/>
      <w:r w:rsidRPr="00F85F67">
        <w:rPr>
          <w:rFonts w:asciiTheme="minorHAnsi" w:hAnsiTheme="minorHAnsi"/>
          <w:color w:val="303030"/>
          <w:sz w:val="22"/>
          <w:szCs w:val="22"/>
          <w:lang w:val="it-IT"/>
        </w:rPr>
        <w:t xml:space="preserve">” sviluppa una base di valutazione per l’ammontare necessario di viti </w:t>
      </w:r>
      <w:r>
        <w:rPr>
          <w:rFonts w:asciiTheme="minorHAnsi" w:hAnsiTheme="minorHAnsi"/>
          <w:color w:val="303030"/>
          <w:sz w:val="22"/>
          <w:szCs w:val="22"/>
          <w:lang w:val="it-IT"/>
        </w:rPr>
        <w:t>per calcestruzzo</w:t>
      </w:r>
      <w:r w:rsidRPr="00F85F67">
        <w:rPr>
          <w:rFonts w:asciiTheme="minorHAnsi" w:hAnsiTheme="minorHAnsi"/>
          <w:color w:val="303030"/>
          <w:sz w:val="22"/>
          <w:szCs w:val="22"/>
          <w:lang w:val="it-IT"/>
        </w:rPr>
        <w:t xml:space="preserve"> per rafforzare le strutture già esistenti. È ora possibile calcolare l’ammontare di viti di ancoraggio necessarie per migliorare la capacità di carico di ponti </w:t>
      </w:r>
      <w:r>
        <w:rPr>
          <w:rFonts w:asciiTheme="minorHAnsi" w:hAnsiTheme="minorHAnsi"/>
          <w:color w:val="303030"/>
          <w:sz w:val="22"/>
          <w:szCs w:val="22"/>
          <w:lang w:val="it-IT"/>
        </w:rPr>
        <w:t>in cemento armato</w:t>
      </w:r>
      <w:r w:rsidRPr="00F85F67">
        <w:rPr>
          <w:rFonts w:asciiTheme="minorHAnsi" w:hAnsiTheme="minorHAnsi"/>
          <w:color w:val="303030"/>
          <w:sz w:val="22"/>
          <w:szCs w:val="22"/>
          <w:lang w:val="it-IT"/>
        </w:rPr>
        <w:t xml:space="preserve"> esistenti. Sono già stati realizzati diversi progetti pilota, i quali hanno provato i vantaggi relativi al progetto quali installazioni facili e veloci del nuovo sistema.</w:t>
      </w:r>
    </w:p>
    <w:p w:rsidR="004C73E7" w:rsidRPr="004C73E7" w:rsidRDefault="004C73E7" w:rsidP="0098220D">
      <w:pPr>
        <w:spacing w:before="120" w:after="120" w:line="240" w:lineRule="auto"/>
        <w:rPr>
          <w:rFonts w:cs="Arial"/>
          <w:color w:val="303030"/>
          <w:lang w:val="it-IT"/>
        </w:rPr>
      </w:pPr>
    </w:p>
    <w:p w:rsidR="004C73E7" w:rsidRPr="00F85F67" w:rsidRDefault="004C73E7" w:rsidP="004C73E7">
      <w:pPr>
        <w:spacing w:before="120" w:after="120" w:line="240" w:lineRule="auto"/>
        <w:rPr>
          <w:rFonts w:cs="Arial"/>
          <w:color w:val="303030"/>
          <w:lang w:val="it-IT"/>
        </w:rPr>
      </w:pPr>
      <w:r w:rsidRPr="004C73E7">
        <w:rPr>
          <w:rFonts w:cs="Arial"/>
          <w:b/>
          <w:color w:val="303030"/>
          <w:lang w:val="it-IT"/>
        </w:rPr>
        <w:t>Alessandra Zanon</w:t>
      </w:r>
      <w:r w:rsidRPr="00F85F67">
        <w:rPr>
          <w:rFonts w:cs="Arial"/>
          <w:color w:val="303030"/>
          <w:lang w:val="it-IT"/>
        </w:rPr>
        <w:t xml:space="preserve">, </w:t>
      </w:r>
      <w:proofErr w:type="spellStart"/>
      <w:r w:rsidRPr="00F85F67">
        <w:rPr>
          <w:rFonts w:cs="Arial"/>
          <w:color w:val="303030"/>
          <w:lang w:val="it-IT"/>
        </w:rPr>
        <w:t>PhD</w:t>
      </w:r>
      <w:proofErr w:type="spellEnd"/>
      <w:r w:rsidRPr="00F85F67">
        <w:rPr>
          <w:rFonts w:cs="Arial"/>
          <w:color w:val="303030"/>
          <w:lang w:val="it-IT"/>
        </w:rPr>
        <w:t xml:space="preserve"> (</w:t>
      </w:r>
      <w:proofErr w:type="spellStart"/>
      <w:r w:rsidRPr="00F85F67">
        <w:rPr>
          <w:rFonts w:cs="Arial"/>
          <w:color w:val="303030"/>
          <w:lang w:val="it-IT"/>
        </w:rPr>
        <w:t>instituto</w:t>
      </w:r>
      <w:proofErr w:type="spellEnd"/>
      <w:r w:rsidRPr="00F85F67">
        <w:rPr>
          <w:rFonts w:cs="Arial"/>
          <w:color w:val="303030"/>
          <w:lang w:val="it-IT"/>
        </w:rPr>
        <w:t xml:space="preserve"> di biomedicina, </w:t>
      </w:r>
      <w:proofErr w:type="spellStart"/>
      <w:r w:rsidRPr="00F85F67">
        <w:rPr>
          <w:rFonts w:cs="Arial"/>
          <w:color w:val="303030"/>
          <w:lang w:val="it-IT"/>
        </w:rPr>
        <w:t>Eurac</w:t>
      </w:r>
      <w:proofErr w:type="spellEnd"/>
      <w:r w:rsidRPr="00F85F67">
        <w:rPr>
          <w:rFonts w:cs="Arial"/>
          <w:color w:val="303030"/>
          <w:lang w:val="it-IT"/>
        </w:rPr>
        <w:t xml:space="preserve"> </w:t>
      </w:r>
      <w:proofErr w:type="spellStart"/>
      <w:r w:rsidRPr="00F85F67">
        <w:rPr>
          <w:rFonts w:cs="Arial"/>
          <w:color w:val="303030"/>
          <w:lang w:val="it-IT"/>
        </w:rPr>
        <w:t>research</w:t>
      </w:r>
      <w:proofErr w:type="spellEnd"/>
      <w:r w:rsidRPr="00F85F67">
        <w:rPr>
          <w:rFonts w:cs="Arial"/>
          <w:color w:val="303030"/>
          <w:lang w:val="it-IT"/>
        </w:rPr>
        <w:t>)</w:t>
      </w:r>
    </w:p>
    <w:p w:rsidR="00146FE2" w:rsidRPr="00F85F67" w:rsidRDefault="004C73E7" w:rsidP="0098220D">
      <w:pPr>
        <w:spacing w:before="120" w:after="120" w:line="240" w:lineRule="auto"/>
      </w:pPr>
      <w:r w:rsidRPr="00F85F67">
        <w:rPr>
          <w:rFonts w:cs="Arial"/>
          <w:color w:val="303030"/>
          <w:lang w:val="it-IT"/>
        </w:rPr>
        <w:t xml:space="preserve">Per poter conoscere meglio le proteine </w:t>
      </w:r>
      <w:proofErr w:type="spellStart"/>
      <w:r w:rsidRPr="00F85F67">
        <w:rPr>
          <w:rFonts w:cs="Arial"/>
          <w:color w:val="303030"/>
          <w:lang w:val="it-IT"/>
        </w:rPr>
        <w:t>Parkin</w:t>
      </w:r>
      <w:proofErr w:type="spellEnd"/>
      <w:r w:rsidRPr="00F85F67">
        <w:rPr>
          <w:rFonts w:cs="Arial"/>
          <w:color w:val="303030"/>
          <w:lang w:val="it-IT"/>
        </w:rPr>
        <w:t xml:space="preserve">, Alessandra Zanon, </w:t>
      </w:r>
      <w:proofErr w:type="spellStart"/>
      <w:r w:rsidRPr="00F85F67">
        <w:rPr>
          <w:rFonts w:cs="Arial"/>
          <w:color w:val="303030"/>
          <w:lang w:val="it-IT"/>
        </w:rPr>
        <w:t>PhD</w:t>
      </w:r>
      <w:proofErr w:type="spellEnd"/>
      <w:r w:rsidRPr="00F85F67">
        <w:rPr>
          <w:rFonts w:cs="Arial"/>
          <w:color w:val="303030"/>
          <w:lang w:val="it-IT"/>
        </w:rPr>
        <w:t xml:space="preserve">, nel suo lavoro ricerca un nuovo tipo di proteine </w:t>
      </w:r>
      <w:proofErr w:type="spellStart"/>
      <w:r w:rsidRPr="00F85F67">
        <w:rPr>
          <w:rFonts w:cs="Arial"/>
          <w:color w:val="303030"/>
          <w:lang w:val="it-IT"/>
        </w:rPr>
        <w:t>Parkin</w:t>
      </w:r>
      <w:proofErr w:type="spellEnd"/>
      <w:r w:rsidRPr="00F85F67">
        <w:rPr>
          <w:rFonts w:cs="Arial"/>
          <w:color w:val="303030"/>
          <w:lang w:val="it-IT"/>
        </w:rPr>
        <w:t xml:space="preserve">, in particolare a livello mitocondriale. Utilizzando un metodo di ricerca particolare sono state identificate 203 possibili proteine </w:t>
      </w:r>
      <w:proofErr w:type="spellStart"/>
      <w:r w:rsidRPr="00F85F67">
        <w:rPr>
          <w:rFonts w:cs="Arial"/>
          <w:color w:val="303030"/>
          <w:lang w:val="it-IT"/>
        </w:rPr>
        <w:t>Parkin</w:t>
      </w:r>
      <w:proofErr w:type="spellEnd"/>
      <w:r w:rsidRPr="00F85F67">
        <w:rPr>
          <w:rFonts w:cs="Arial"/>
          <w:color w:val="303030"/>
          <w:lang w:val="it-IT"/>
        </w:rPr>
        <w:t xml:space="preserve">. In seguito ad analisi ulteriori è stato rilevato un’interazione tra </w:t>
      </w:r>
      <w:proofErr w:type="spellStart"/>
      <w:r w:rsidRPr="00F85F67">
        <w:rPr>
          <w:rFonts w:cs="Arial"/>
          <w:color w:val="303030"/>
          <w:lang w:val="it-IT"/>
        </w:rPr>
        <w:t>Parkin</w:t>
      </w:r>
      <w:proofErr w:type="spellEnd"/>
      <w:r w:rsidRPr="00F85F67">
        <w:rPr>
          <w:rFonts w:cs="Arial"/>
          <w:color w:val="303030"/>
          <w:lang w:val="it-IT"/>
        </w:rPr>
        <w:t xml:space="preserve"> e “</w:t>
      </w:r>
      <w:proofErr w:type="spellStart"/>
      <w:r w:rsidRPr="00F85F67">
        <w:rPr>
          <w:rFonts w:cs="Arial"/>
          <w:color w:val="303030"/>
          <w:lang w:val="it-IT"/>
        </w:rPr>
        <w:t>Stomatin-like</w:t>
      </w:r>
      <w:proofErr w:type="spellEnd"/>
      <w:r w:rsidRPr="00F85F67">
        <w:rPr>
          <w:rFonts w:cs="Arial"/>
          <w:color w:val="303030"/>
          <w:lang w:val="it-IT"/>
        </w:rPr>
        <w:t xml:space="preserve"> </w:t>
      </w:r>
      <w:proofErr w:type="spellStart"/>
      <w:r w:rsidRPr="00F85F67">
        <w:rPr>
          <w:rFonts w:cs="Arial"/>
          <w:color w:val="303030"/>
          <w:lang w:val="it-IT"/>
        </w:rPr>
        <w:t>protein</w:t>
      </w:r>
      <w:proofErr w:type="spellEnd"/>
      <w:r w:rsidRPr="00F85F67">
        <w:rPr>
          <w:rFonts w:cs="Arial"/>
          <w:color w:val="303030"/>
          <w:lang w:val="it-IT"/>
        </w:rPr>
        <w:t xml:space="preserve"> 2”. </w:t>
      </w:r>
      <w:r w:rsidRPr="004C73E7">
        <w:rPr>
          <w:rFonts w:cs="Arial"/>
          <w:color w:val="303030"/>
          <w:lang w:val="it-IT"/>
        </w:rPr>
        <w:t xml:space="preserve">Questo collegamento apre la via a nuove strategie terapeutiche. </w:t>
      </w:r>
    </w:p>
    <w:sectPr w:rsidR="00146FE2" w:rsidRPr="00F85F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A54"/>
    <w:rsid w:val="000024E9"/>
    <w:rsid w:val="00033516"/>
    <w:rsid w:val="000A59E0"/>
    <w:rsid w:val="000B35F4"/>
    <w:rsid w:val="000E07B0"/>
    <w:rsid w:val="000F48CC"/>
    <w:rsid w:val="00146FE2"/>
    <w:rsid w:val="002100F2"/>
    <w:rsid w:val="002562FD"/>
    <w:rsid w:val="002574EC"/>
    <w:rsid w:val="00281269"/>
    <w:rsid w:val="002D1E94"/>
    <w:rsid w:val="00321EE6"/>
    <w:rsid w:val="0033184B"/>
    <w:rsid w:val="00393EFB"/>
    <w:rsid w:val="003C1D04"/>
    <w:rsid w:val="00432C29"/>
    <w:rsid w:val="00497652"/>
    <w:rsid w:val="004A7FED"/>
    <w:rsid w:val="004C73E7"/>
    <w:rsid w:val="004E4DAC"/>
    <w:rsid w:val="0054027F"/>
    <w:rsid w:val="00561148"/>
    <w:rsid w:val="005F3925"/>
    <w:rsid w:val="00630859"/>
    <w:rsid w:val="00651E52"/>
    <w:rsid w:val="0067198F"/>
    <w:rsid w:val="00687004"/>
    <w:rsid w:val="006E677D"/>
    <w:rsid w:val="006F754C"/>
    <w:rsid w:val="007A1340"/>
    <w:rsid w:val="007E3D81"/>
    <w:rsid w:val="0085541F"/>
    <w:rsid w:val="008D4126"/>
    <w:rsid w:val="0096282A"/>
    <w:rsid w:val="0098220D"/>
    <w:rsid w:val="009D6C6B"/>
    <w:rsid w:val="009F1488"/>
    <w:rsid w:val="009F3E4B"/>
    <w:rsid w:val="00A4657A"/>
    <w:rsid w:val="00AA62A5"/>
    <w:rsid w:val="00B31CD7"/>
    <w:rsid w:val="00B42DF2"/>
    <w:rsid w:val="00BD0A71"/>
    <w:rsid w:val="00BD305E"/>
    <w:rsid w:val="00BD3A04"/>
    <w:rsid w:val="00C76646"/>
    <w:rsid w:val="00CB0DCD"/>
    <w:rsid w:val="00CC00F3"/>
    <w:rsid w:val="00D01D2B"/>
    <w:rsid w:val="00D11E12"/>
    <w:rsid w:val="00D31DD7"/>
    <w:rsid w:val="00D51DE7"/>
    <w:rsid w:val="00E23842"/>
    <w:rsid w:val="00E373D4"/>
    <w:rsid w:val="00E55A5B"/>
    <w:rsid w:val="00E926E4"/>
    <w:rsid w:val="00ED2A54"/>
    <w:rsid w:val="00EE354E"/>
    <w:rsid w:val="00F57341"/>
    <w:rsid w:val="00F80591"/>
    <w:rsid w:val="00F85F67"/>
    <w:rsid w:val="00FA09CE"/>
    <w:rsid w:val="00FC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48B7CC-6DE2-44C4-A92B-1EDB1331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14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Land Tirol</Company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HÖRTNAGL Sonja</dc:creator>
  <cp:lastModifiedBy>MFink</cp:lastModifiedBy>
  <cp:revision>5</cp:revision>
  <dcterms:created xsi:type="dcterms:W3CDTF">2017-08-16T14:17:00Z</dcterms:created>
  <dcterms:modified xsi:type="dcterms:W3CDTF">2017-08-20T07:57:00Z</dcterms:modified>
</cp:coreProperties>
</file>