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AC" w:rsidRDefault="00EF09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222222"/>
          <w:sz w:val="22"/>
          <w:szCs w:val="22"/>
        </w:rPr>
        <w:br/>
      </w:r>
    </w:p>
    <w:p w:rsidR="009819AC" w:rsidRDefault="009819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:rsidR="009819AC" w:rsidRDefault="00AF0C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="00EF090C">
        <w:rPr>
          <w:rFonts w:ascii="Arial" w:eastAsia="Arial" w:hAnsi="Arial" w:cs="Arial"/>
          <w:color w:val="000000"/>
          <w:sz w:val="22"/>
          <w:szCs w:val="22"/>
          <w:u w:val="single"/>
        </w:rPr>
        <w:t>COMUNICATO STAMPA</w:t>
      </w:r>
    </w:p>
    <w:p w:rsidR="009819AC" w:rsidRDefault="009819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9819AC" w:rsidRDefault="009819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9819AC" w:rsidRDefault="00EF090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15 nuove idee di impresa partecipano al programma Bootstrap</w:t>
      </w:r>
    </w:p>
    <w:p w:rsidR="009819AC" w:rsidRDefault="00EF090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Al via la prima fase di Trentino Startup Valley, il programma di accompagnamento per startup ideato da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Hub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Innovazione Trentino e Trentino Sviluppo.</w:t>
      </w:r>
    </w:p>
    <w:p w:rsidR="009819AC" w:rsidRDefault="00EF090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Il Trentino è un territorio ideale per fare impresa, dove giovani, ricercatori e innovatori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quando propongono soluzioni tecnologiche innovative per il miglioramento della qualità della vita, dell’ambiente e dell’economia del territorio, </w:t>
      </w:r>
      <w:r>
        <w:rPr>
          <w:rFonts w:ascii="Arial" w:eastAsia="Arial" w:hAnsi="Arial" w:cs="Arial"/>
          <w:sz w:val="24"/>
          <w:szCs w:val="24"/>
        </w:rPr>
        <w:t>trovano il support</w:t>
      </w:r>
      <w:r>
        <w:rPr>
          <w:rFonts w:ascii="Arial" w:eastAsia="Arial" w:hAnsi="Arial" w:cs="Arial"/>
          <w:sz w:val="24"/>
          <w:szCs w:val="24"/>
        </w:rPr>
        <w:t>o di tutto il sistema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I progetti d'impresa selezionati per partecipare alla fase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Bootstrap&amp;Validation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di Trentino Startup Valley testimoniano proprio questi propositi. 36 le candidature pervenute, 15 quelle selezionate, 38 i partecipanti, quasi tutti tren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tini tra i 25 e i 45 anni, di cui 11 donne e 3 professionisti stranieri. </w:t>
      </w:r>
    </w:p>
    <w:p w:rsidR="009819AC" w:rsidRDefault="00EF090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Una partecipazione che conferma una vitalità particolare da parte del sistema della ricerca trentina, capac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di produrre conoscenza in grado di trasformarsi </w:t>
      </w:r>
      <w:r>
        <w:rPr>
          <w:rFonts w:ascii="Arial" w:eastAsia="Arial" w:hAnsi="Arial" w:cs="Arial"/>
          <w:sz w:val="24"/>
          <w:szCs w:val="24"/>
        </w:rPr>
        <w:t xml:space="preserve">anche </w:t>
      </w:r>
      <w:r>
        <w:rPr>
          <w:rFonts w:ascii="Arial" w:eastAsia="Arial" w:hAnsi="Arial" w:cs="Arial"/>
          <w:color w:val="000000"/>
          <w:sz w:val="24"/>
          <w:szCs w:val="24"/>
        </w:rPr>
        <w:t>in progetti imprenditoriali.</w:t>
      </w:r>
      <w:r>
        <w:rPr>
          <w:rFonts w:ascii="Arial" w:eastAsia="Arial" w:hAnsi="Arial" w:cs="Arial"/>
          <w:sz w:val="24"/>
          <w:szCs w:val="24"/>
        </w:rPr>
        <w:t xml:space="preserve"> Università di Trento attraverso i dipartimenti di Biologia Cellulare, Computazionale e Integrata – CIBIO, Ingegneria e Scienza dell'Informazione – DISI, Fisica, Giurisprudenza, ma anche Fondazione Bruno Kessler e Fondazione Edm</w:t>
      </w:r>
      <w:r>
        <w:rPr>
          <w:rFonts w:ascii="Arial" w:eastAsia="Arial" w:hAnsi="Arial" w:cs="Arial"/>
          <w:sz w:val="24"/>
          <w:szCs w:val="24"/>
        </w:rPr>
        <w:t>und Mach: da queste realtà provengono 11 delle 15 idee d'impresa selezionate.</w:t>
      </w:r>
    </w:p>
    <w:p w:rsidR="009819AC" w:rsidRDefault="00EF090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</w:rPr>
        <w:t>Gli argomenti focus, come da richiesta esplicita del bando, sono quelli della “Carta di Rovereto sull’Innovazione” sottoscritta il 20 luglio 2019 a conclusione dei lavori del For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um per la Ricerca della Provincia: tecnologie per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decarbonizzazione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biotecnologie e tecnologie per la salute e la sanità,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agrifood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risorse naturali 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bioeconomia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 Tra le idee ammesse alcune cercano di fornire risposte concrete ai problemi dell’inquina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mento ambientale, dello spreco alimentare e del cambiamento climatico, sviluppando sistemi e processi volti ad agire in un’ottica circolare e sostenibile. In ambito biotecnologico alcune startup intendono </w:t>
      </w:r>
      <w:r>
        <w:rPr>
          <w:rFonts w:ascii="Arial" w:eastAsia="Arial" w:hAnsi="Arial" w:cs="Arial"/>
          <w:sz w:val="24"/>
          <w:szCs w:val="24"/>
        </w:rPr>
        <w:t>sviluppare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sistemi diagnostici meno invasivi rispet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to a quelli presenti sul mercato o test farmacologici su larga scala che permettano di evitare la sperimentazione sugli animali. I progetti di impresa afferenti al settore agroalimentare e del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cleantech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invece</w:t>
      </w:r>
      <w:r>
        <w:rPr>
          <w:rFonts w:ascii="Arial" w:eastAsia="Arial" w:hAnsi="Arial" w:cs="Arial"/>
          <w:color w:val="000000"/>
          <w:sz w:val="24"/>
          <w:szCs w:val="24"/>
        </w:rPr>
        <w:t>, riguardano ad esempio lo sviluppo di prodotti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fitosanitari di origine naturale, tecnologie che si servono degli scarti per produrre energia pulita, soluzioni per migliorare la mobilità elettrica, sistemi per rilevare sostanze nocive o per purificare l’aria in zone circoscritte. Presentato anche un pr</w:t>
      </w:r>
      <w:r>
        <w:rPr>
          <w:rFonts w:ascii="Arial" w:eastAsia="Arial" w:hAnsi="Arial" w:cs="Arial"/>
          <w:color w:val="000000"/>
          <w:sz w:val="24"/>
          <w:szCs w:val="24"/>
        </w:rPr>
        <w:t>ogetto per ottimizzare il processo di apprendimento a distanza e favorire le persone diversamente abili o che non hanno possibilità di frequentare l’Università.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Le lezioni della fase Bootstrap cominciano oggi e proseguono fino a maggio con cadenza settiman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ale. Il 12 maggio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le startup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presenteranno i loro progetti in occasione di un evento pubblico chiamato “Demo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”. Solo le idee più innovative, finanziariamente sostenibili e ben strutturate potranno passare alla fase “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Validation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 xml:space="preserve"> ed essere seguite da figu</w:t>
      </w:r>
      <w:r>
        <w:rPr>
          <w:rFonts w:ascii="Arial" w:eastAsia="Arial" w:hAnsi="Arial" w:cs="Arial"/>
          <w:sz w:val="24"/>
          <w:szCs w:val="24"/>
        </w:rPr>
        <w:t>re professionali altamente specializzate per altri 8 mesi. Alla fine di questo percorso alcune potranno arrivare alla terza fase, quella del "Go-to-market", un programma della durata massima di 24 mesi costruito su misura per chi dimostrerà di avere grande</w:t>
      </w:r>
      <w:r>
        <w:rPr>
          <w:rFonts w:ascii="Arial" w:eastAsia="Arial" w:hAnsi="Arial" w:cs="Arial"/>
          <w:sz w:val="24"/>
          <w:szCs w:val="24"/>
        </w:rPr>
        <w:t xml:space="preserve"> potenzialità di sviluppo, dedicato a startup mature che necessitano di supporto finanziario e manageriale per completare la fase di industrializzazione e di entrata sul mercato.</w:t>
      </w:r>
    </w:p>
    <w:p w:rsidR="009819AC" w:rsidRDefault="00EF090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“L’interesse per il programma Trentino Startup Valley dimostra la grande capa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cità del nostro territorio di generare anno dopo anno idee imprenditoriali innovative - spiega Michele Tosi,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irettore dell’Area Incubazione e Startup di Trentino Sviluppo”. “Il supporto garantito dall’intero sistema provinciale permette a Trento di essere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ancora la prima provincia in Italia per quanto riguarda il rapporto startup innovative sul totale delle nuove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societa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̀ di capitali registrate alla Camera di Commercio”. </w:t>
      </w:r>
    </w:p>
    <w:p w:rsidR="009819AC" w:rsidRDefault="00EF090C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“Siamo decisamente soddisfatti del numero e della qualità </w:t>
      </w:r>
      <w:r w:rsidR="00AF0C64">
        <w:rPr>
          <w:rFonts w:ascii="Arial" w:eastAsia="Arial" w:hAnsi="Arial" w:cs="Arial"/>
          <w:sz w:val="24"/>
          <w:szCs w:val="24"/>
          <w:highlight w:val="white"/>
        </w:rPr>
        <w:t>delle candidature a ‘</w:t>
      </w:r>
      <w:proofErr w:type="spellStart"/>
      <w:r w:rsidR="00AF0C64">
        <w:rPr>
          <w:rFonts w:ascii="Arial" w:eastAsia="Arial" w:hAnsi="Arial" w:cs="Arial"/>
          <w:sz w:val="24"/>
          <w:szCs w:val="24"/>
          <w:highlight w:val="white"/>
        </w:rPr>
        <w:t>Bootstrap&amp;V</w:t>
      </w:r>
      <w:bookmarkStart w:id="1" w:name="_GoBack"/>
      <w:bookmarkEnd w:id="1"/>
      <w:r>
        <w:rPr>
          <w:rFonts w:ascii="Arial" w:eastAsia="Arial" w:hAnsi="Arial" w:cs="Arial"/>
          <w:sz w:val="24"/>
          <w:szCs w:val="24"/>
          <w:highlight w:val="white"/>
        </w:rPr>
        <w:t>alidation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’ provenienti dai centri di ricerca trentini - dichiara Marco Senigalliesi, responsabile dell’Unità Accelerazione ed Imprenditorialità di HIT”. “Il programma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rappresenta una delle modalità per favorire il trasferimento di tecnologie dai centri di ricerca trentini verso il mercato e facilita la nascita e la crescita di startup provenienti dal mondo della ricerca; inoltre in questo modo si restituisce valore al </w:t>
      </w:r>
      <w:r>
        <w:rPr>
          <w:rFonts w:ascii="Arial" w:eastAsia="Arial" w:hAnsi="Arial" w:cs="Arial"/>
          <w:sz w:val="24"/>
          <w:szCs w:val="24"/>
          <w:highlight w:val="white"/>
        </w:rPr>
        <w:t>territorio in cui il progetto si sviluppa in termini di occupazione e benessere diffuso.”</w:t>
      </w:r>
    </w:p>
    <w:p w:rsidR="009819AC" w:rsidRDefault="00EF090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Considerata la qualità e il numero delle richieste pervenute,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Hub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Innovazione Trentino e Trentino Sviluppo prevedono di pubblicare un nuovo bando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Bootstrap&amp;Validation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già nel 202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9819AC" w:rsidRDefault="00EF090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br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Trento, 14 gennaio 2020</w:t>
      </w:r>
    </w:p>
    <w:sectPr w:rsidR="009819AC">
      <w:headerReference w:type="default" r:id="rId6"/>
      <w:footerReference w:type="default" r:id="rId7"/>
      <w:pgSz w:w="11906" w:h="16838"/>
      <w:pgMar w:top="1418" w:right="1134" w:bottom="1843" w:left="1134" w:header="794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90C" w:rsidRDefault="00EF090C">
      <w:r>
        <w:separator/>
      </w:r>
    </w:p>
  </w:endnote>
  <w:endnote w:type="continuationSeparator" w:id="0">
    <w:p w:rsidR="00EF090C" w:rsidRDefault="00EF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AC" w:rsidRDefault="00EF090C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323E4F"/>
        <w:sz w:val="16"/>
        <w:szCs w:val="16"/>
      </w:rPr>
    </w:pPr>
    <w:proofErr w:type="spellStart"/>
    <w:r>
      <w:rPr>
        <w:rFonts w:ascii="Arial" w:eastAsia="Arial" w:hAnsi="Arial" w:cs="Arial"/>
        <w:b/>
        <w:color w:val="323E4F"/>
        <w:sz w:val="16"/>
        <w:szCs w:val="16"/>
      </w:rPr>
      <w:t>Hub</w:t>
    </w:r>
    <w:proofErr w:type="spellEnd"/>
    <w:r>
      <w:rPr>
        <w:rFonts w:ascii="Arial" w:eastAsia="Arial" w:hAnsi="Arial" w:cs="Arial"/>
        <w:b/>
        <w:color w:val="323E4F"/>
        <w:sz w:val="16"/>
        <w:szCs w:val="16"/>
      </w:rPr>
      <w:t xml:space="preserve"> Innovazione Trentino – Fondazione</w:t>
    </w:r>
    <w:r>
      <w:rPr>
        <w:rFonts w:ascii="Arial" w:eastAsia="Arial" w:hAnsi="Arial" w:cs="Arial"/>
        <w:color w:val="323E4F"/>
        <w:sz w:val="16"/>
        <w:szCs w:val="16"/>
      </w:rPr>
      <w:t>, Piazza Manci 17- 38123 Povo (TN)</w:t>
    </w:r>
  </w:p>
  <w:p w:rsidR="009819AC" w:rsidRDefault="00EF090C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323E4F"/>
        <w:sz w:val="16"/>
        <w:szCs w:val="16"/>
      </w:rPr>
    </w:pPr>
    <w:r>
      <w:rPr>
        <w:rFonts w:ascii="Arial" w:eastAsia="Arial" w:hAnsi="Arial" w:cs="Arial"/>
        <w:color w:val="323E4F"/>
        <w:sz w:val="16"/>
        <w:szCs w:val="16"/>
      </w:rPr>
      <w:t xml:space="preserve">Tel. 0461 314 057; Mail </w:t>
    </w:r>
    <w:hyperlink r:id="rId1">
      <w:r>
        <w:rPr>
          <w:rFonts w:ascii="Arial" w:eastAsia="Arial" w:hAnsi="Arial" w:cs="Arial"/>
          <w:color w:val="323E4F"/>
          <w:sz w:val="16"/>
          <w:szCs w:val="16"/>
          <w:u w:val="single"/>
        </w:rPr>
        <w:t>info@trentinoinnovation.eu</w:t>
      </w:r>
    </w:hyperlink>
    <w:r>
      <w:rPr>
        <w:rFonts w:ascii="Arial" w:eastAsia="Arial" w:hAnsi="Arial" w:cs="Arial"/>
        <w:color w:val="323E4F"/>
        <w:sz w:val="16"/>
        <w:szCs w:val="16"/>
      </w:rPr>
      <w:t xml:space="preserve">; </w:t>
    </w:r>
    <w:proofErr w:type="spellStart"/>
    <w:r>
      <w:rPr>
        <w:rFonts w:ascii="Arial" w:eastAsia="Arial" w:hAnsi="Arial" w:cs="Arial"/>
        <w:color w:val="323E4F"/>
        <w:sz w:val="16"/>
        <w:szCs w:val="16"/>
      </w:rPr>
      <w:t>Pec</w:t>
    </w:r>
    <w:proofErr w:type="spellEnd"/>
    <w:r>
      <w:rPr>
        <w:rFonts w:ascii="Arial" w:eastAsia="Arial" w:hAnsi="Arial" w:cs="Arial"/>
        <w:color w:val="323E4F"/>
        <w:sz w:val="16"/>
        <w:szCs w:val="16"/>
      </w:rPr>
      <w:t xml:space="preserve"> </w:t>
    </w:r>
    <w:hyperlink r:id="rId2">
      <w:r>
        <w:rPr>
          <w:rFonts w:ascii="Arial" w:eastAsia="Arial" w:hAnsi="Arial" w:cs="Arial"/>
          <w:color w:val="323E4F"/>
          <w:sz w:val="16"/>
          <w:szCs w:val="16"/>
          <w:u w:val="single"/>
        </w:rPr>
        <w:t>hubinnovazione@pec.it</w:t>
      </w:r>
    </w:hyperlink>
    <w:r>
      <w:rPr>
        <w:rFonts w:ascii="Arial" w:eastAsia="Arial" w:hAnsi="Arial" w:cs="Arial"/>
        <w:color w:val="323E4F"/>
        <w:sz w:val="16"/>
        <w:szCs w:val="16"/>
      </w:rPr>
      <w:t xml:space="preserve"> - C.F., P.IVA 02392830226</w:t>
    </w:r>
  </w:p>
  <w:p w:rsidR="009819AC" w:rsidRDefault="009819AC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90C" w:rsidRDefault="00EF090C">
      <w:r>
        <w:separator/>
      </w:r>
    </w:p>
  </w:footnote>
  <w:footnote w:type="continuationSeparator" w:id="0">
    <w:p w:rsidR="00EF090C" w:rsidRDefault="00EF0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AC" w:rsidRDefault="00EF090C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2153462</wp:posOffset>
          </wp:positionH>
          <wp:positionV relativeFrom="paragraph">
            <wp:posOffset>97312</wp:posOffset>
          </wp:positionV>
          <wp:extent cx="1174115" cy="41783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4115" cy="417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3634854</wp:posOffset>
          </wp:positionH>
          <wp:positionV relativeFrom="paragraph">
            <wp:posOffset>126136</wp:posOffset>
          </wp:positionV>
          <wp:extent cx="2400300" cy="39433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0300" cy="394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819AC" w:rsidRDefault="009819AC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  <w:p w:rsidR="009819AC" w:rsidRDefault="009819AC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  <w:p w:rsidR="009819AC" w:rsidRDefault="009819AC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AC"/>
    <w:rsid w:val="009819AC"/>
    <w:rsid w:val="00AF0C64"/>
    <w:rsid w:val="00E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69DC"/>
  <w15:docId w15:val="{2CBAEAD0-A194-4EEA-9878-811A83D0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ubinnovazione@pec.it" TargetMode="External"/><Relationship Id="rId1" Type="http://schemas.openxmlformats.org/officeDocument/2006/relationships/hyperlink" Target="mailto:info@trentinoinnovation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Martinelli</dc:creator>
  <cp:lastModifiedBy>Windows User</cp:lastModifiedBy>
  <cp:revision>2</cp:revision>
  <dcterms:created xsi:type="dcterms:W3CDTF">2020-01-14T07:34:00Z</dcterms:created>
  <dcterms:modified xsi:type="dcterms:W3CDTF">2020-01-14T07:34:00Z</dcterms:modified>
</cp:coreProperties>
</file>