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left="0" w:hanging="2"/>
        <w:rPr>
          <w:u w:val="single"/>
        </w:rPr>
      </w:pPr>
      <w:r w:rsidDel="00000000" w:rsidR="00000000" w:rsidRPr="00000000">
        <w:rPr>
          <w:rtl w:val="0"/>
        </w:rPr>
      </w:r>
    </w:p>
    <w:p w:rsidR="00000000" w:rsidDel="00000000" w:rsidP="00000000" w:rsidRDefault="00000000" w:rsidRPr="00000000" w14:paraId="00000002">
      <w:pPr>
        <w:shd w:fill="ffffff" w:val="clear"/>
        <w:spacing w:after="240" w:lineRule="auto"/>
        <w:ind w:left="0" w:hanging="2"/>
        <w:rPr>
          <w:u w:val="single"/>
        </w:rPr>
      </w:pPr>
      <w:r w:rsidDel="00000000" w:rsidR="00000000" w:rsidRPr="00000000">
        <w:rPr>
          <w:u w:val="single"/>
          <w:rtl w:val="0"/>
        </w:rPr>
        <w:t xml:space="preserve">COMUNICATO STAMPA</w:t>
      </w:r>
    </w:p>
    <w:p w:rsidR="00000000" w:rsidDel="00000000" w:rsidP="00000000" w:rsidRDefault="00000000" w:rsidRPr="00000000" w14:paraId="00000003">
      <w:pPr>
        <w:ind w:left="0"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4">
      <w:pPr>
        <w:ind w:left="0" w:hanging="2"/>
        <w:rPr>
          <w:rFonts w:ascii="Arial" w:cs="Arial" w:eastAsia="Arial" w:hAnsi="Arial"/>
          <w:color w:val="000000"/>
          <w:highlight w:val="white"/>
        </w:rPr>
      </w:pPr>
      <w:r w:rsidDel="00000000" w:rsidR="00000000" w:rsidRPr="00000000">
        <w:rPr>
          <w:rFonts w:ascii="Arial" w:cs="Arial" w:eastAsia="Arial" w:hAnsi="Arial"/>
          <w:b w:val="1"/>
          <w:color w:val="000000"/>
          <w:sz w:val="26"/>
          <w:szCs w:val="26"/>
          <w:highlight w:val="white"/>
          <w:rtl w:val="0"/>
        </w:rPr>
        <w:t xml:space="preserve">Fino a 70 mila euro per sviluppare prototipi</w:t>
      </w:r>
      <w:r w:rsidDel="00000000" w:rsidR="00000000" w:rsidRPr="00000000">
        <w:rPr>
          <w:rFonts w:ascii="Arial" w:cs="Arial" w:eastAsia="Arial" w:hAnsi="Arial"/>
          <w:b w:val="1"/>
          <w:color w:val="000000"/>
          <w:highlight w:val="white"/>
          <w:rtl w:val="0"/>
        </w:rPr>
        <w:br w:type="textWrapping"/>
      </w:r>
      <w:r w:rsidDel="00000000" w:rsidR="00000000" w:rsidRPr="00000000">
        <w:rPr>
          <w:rFonts w:ascii="Arial" w:cs="Arial" w:eastAsia="Arial" w:hAnsi="Arial"/>
          <w:color w:val="000000"/>
          <w:highlight w:val="white"/>
          <w:rtl w:val="0"/>
        </w:rPr>
        <w:t xml:space="preserve">Al via il bando per la ricerca che investe in Industria 4.0</w:t>
        <w:br w:type="textWrapping"/>
      </w:r>
    </w:p>
    <w:p w:rsidR="00000000" w:rsidDel="00000000" w:rsidP="00000000" w:rsidRDefault="00000000" w:rsidRPr="00000000" w14:paraId="00000005">
      <w:pPr>
        <w:ind w:left="0" w:hanging="2"/>
        <w:rPr>
          <w:rFonts w:ascii="Arial" w:cs="Arial" w:eastAsia="Arial" w:hAnsi="Arial"/>
          <w:color w:val="000000"/>
          <w:highlight w:val="white"/>
        </w:rPr>
      </w:pPr>
      <w:r w:rsidDel="00000000" w:rsidR="00000000" w:rsidRPr="00000000">
        <w:rPr>
          <w:rFonts w:ascii="Arial" w:cs="Arial" w:eastAsia="Arial" w:hAnsi="Arial"/>
          <w:b w:val="1"/>
          <w:highlight w:val="white"/>
          <w:rtl w:val="0"/>
        </w:rPr>
        <w:t xml:space="preserve">Giovedì 12 dicembre è stato presentato a</w:t>
      </w:r>
      <w:r w:rsidDel="00000000" w:rsidR="00000000" w:rsidRPr="00000000">
        <w:rPr>
          <w:rFonts w:ascii="Arial" w:cs="Arial" w:eastAsia="Arial" w:hAnsi="Arial"/>
          <w:b w:val="1"/>
          <w:color w:val="000000"/>
          <w:highlight w:val="white"/>
          <w:rtl w:val="0"/>
        </w:rPr>
        <w:t xml:space="preserve"> HIT – Hub Innovazione Trentino “Proof of Concept – PoC Program 2020”, il nuovo bando del fondo di investimento Vertis Venture 3 Tech Transfer (VV3TT) che si rivolge a progetti di tecnologie per l'Industria 4.0 sviluppati nelle università o negli istituti di ricerca.</w:t>
        <w:br w:type="textWrapping"/>
      </w:r>
      <w:r w:rsidDel="00000000" w:rsidR="00000000" w:rsidRPr="00000000">
        <w:rPr>
          <w:rFonts w:ascii="Arial" w:cs="Arial" w:eastAsia="Arial" w:hAnsi="Arial"/>
          <w:b w:val="1"/>
          <w:highlight w:val="white"/>
          <w:rtl w:val="0"/>
        </w:rPr>
        <w:t xml:space="preserve">Il Fondo VV3TT è stato lanciato a fine 2017 e da allora ha investito in Trentino più </w:t>
      </w:r>
      <w:r w:rsidDel="00000000" w:rsidR="00000000" w:rsidRPr="00000000">
        <w:rPr>
          <w:rFonts w:ascii="Arial" w:cs="Arial" w:eastAsia="Arial" w:hAnsi="Arial"/>
          <w:b w:val="1"/>
          <w:rtl w:val="0"/>
        </w:rPr>
        <w:t xml:space="preserve">di 2,5 milioni di euro</w:t>
      </w:r>
      <w:r w:rsidDel="00000000" w:rsidR="00000000" w:rsidRPr="00000000">
        <w:rPr>
          <w:rFonts w:ascii="Arial" w:cs="Arial" w:eastAsia="Arial" w:hAnsi="Arial"/>
          <w:b w:val="1"/>
          <w:highlight w:val="white"/>
          <w:rtl w:val="0"/>
        </w:rPr>
        <w:t xml:space="preserve">, in particolare su un progetto nell’ambito edge computing della Fondazione Bruno Kessler e su Sibylla Biotech, startup accompagnata da HIT e nata dalla ricerca di due professori dell’Università di Trento, Pietro Faccioli ed Emiliano Biasini.</w:t>
      </w:r>
      <w:r w:rsidDel="00000000" w:rsidR="00000000" w:rsidRPr="00000000">
        <w:rPr>
          <w:rFonts w:ascii="Arial" w:cs="Arial" w:eastAsia="Arial" w:hAnsi="Arial"/>
          <w:b w:val="1"/>
          <w:color w:val="000000"/>
          <w:highlight w:val="white"/>
          <w:rtl w:val="0"/>
        </w:rPr>
        <w:br w:type="textWrapping"/>
      </w:r>
      <w:r w:rsidDel="00000000" w:rsidR="00000000" w:rsidRPr="00000000">
        <w:rPr>
          <w:rFonts w:ascii="Arial" w:cs="Arial" w:eastAsia="Arial" w:hAnsi="Arial"/>
          <w:color w:val="000000"/>
          <w:highlight w:val="white"/>
          <w:rtl w:val="0"/>
        </w:rPr>
        <w:br w:type="textWrapping"/>
        <w:t xml:space="preserve">VV3TT PoC Program 2020 mette a disposizione d</w:t>
      </w:r>
      <w:r w:rsidDel="00000000" w:rsidR="00000000" w:rsidRPr="00000000">
        <w:rPr>
          <w:rFonts w:ascii="Arial" w:cs="Arial" w:eastAsia="Arial" w:hAnsi="Arial"/>
          <w:highlight w:val="white"/>
          <w:rtl w:val="0"/>
        </w:rPr>
        <w:t xml:space="preserve">i</w:t>
      </w:r>
      <w:r w:rsidDel="00000000" w:rsidR="00000000" w:rsidRPr="00000000">
        <w:rPr>
          <w:rFonts w:ascii="Arial" w:cs="Arial" w:eastAsia="Arial" w:hAnsi="Arial"/>
          <w:color w:val="000000"/>
          <w:highlight w:val="white"/>
          <w:rtl w:val="0"/>
        </w:rPr>
        <w:t xml:space="preserve"> professori e ricercatori le risorse finanziarie e la formazione imprenditoriale necessaria per realizzare esperimenti che dimostrino la fattibilità di una tecnologia o di un potenziale prodotto/servizio tecnologico, simulando una situazione reale di mercato. </w:t>
      </w:r>
      <w:r w:rsidDel="00000000" w:rsidR="00000000" w:rsidRPr="00000000">
        <w:rPr>
          <w:rFonts w:ascii="Arial" w:cs="Arial" w:eastAsia="Arial" w:hAnsi="Arial"/>
          <w:color w:val="000000"/>
          <w:rtl w:val="0"/>
        </w:rPr>
        <w:t xml:space="preserve">Il grado di maturità dei progetti ammissibili dovrà rientrare in un Technology Readiness Level (TRL), compreso tra 3 e 5, ciò significa che saranno ammessi i progetti che hanno già testato e convalidato la tecnologia in laboratorio e/o in un ambiente industrialmente rilevante ma che non sono diventati ancora dei veri e propri prototipi.</w:t>
      </w:r>
      <w:r w:rsidDel="00000000" w:rsidR="00000000" w:rsidRPr="00000000">
        <w:rPr>
          <w:rFonts w:ascii="Arial" w:cs="Arial" w:eastAsia="Arial" w:hAnsi="Arial"/>
          <w:color w:val="000000"/>
          <w:highlight w:val="white"/>
          <w:rtl w:val="0"/>
        </w:rPr>
        <w:br w:type="textWrapping"/>
        <w:t xml:space="preserve">Tra gli ambiti tecnologici di investimento del fondo: ICT, robotica, manifattura 4.0, meccatronica, smart health, tecnologie per l’aerospazio, tecnologie per l’energia, materiali avanzati,</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cybersecurity, AI, IOT, Big Data. </w:t>
        <w:br w:type="textWrapping"/>
        <w:t xml:space="preserve">I progetti selezionati riceveranno un investimento fino a 70 mila euro, da destinare alla prototipazione e/o alla commercializzazione del loro prodotto/servizio nell’arco di circa un anno. Il bando prevede la partecipazione al Tech2Biz Program, un programma di accelerazione e formazione imprenditoriale che accompagna l</w:t>
      </w:r>
      <w:r w:rsidDel="00000000" w:rsidR="00000000" w:rsidRPr="00000000">
        <w:rPr>
          <w:rFonts w:ascii="Arial" w:cs="Arial" w:eastAsia="Arial" w:hAnsi="Arial"/>
          <w:highlight w:val="white"/>
          <w:rtl w:val="0"/>
        </w:rPr>
        <w:t xml:space="preserve">’ideazione</w:t>
      </w:r>
      <w:r w:rsidDel="00000000" w:rsidR="00000000" w:rsidRPr="00000000">
        <w:rPr>
          <w:rFonts w:ascii="Arial" w:cs="Arial" w:eastAsia="Arial" w:hAnsi="Arial"/>
          <w:color w:val="000000"/>
          <w:highlight w:val="white"/>
          <w:rtl w:val="0"/>
        </w:rPr>
        <w:t xml:space="preserve"> e lo sviluppo del progetto. Inoltre, al fine di sviluppare le capacità manageriali e imprenditoriali dei partecipanti, il fondo VV3TT mette a disposizione di un componente di ogni team selezionato una borsa di studio per un Executive Master in Business Administration accreditato internazionalmente (programma EMBAIN, gestito da MIB Trieste School of Management) del valore di 30 mila euro. </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color w:val="000000"/>
          <w:highlight w:val="white"/>
          <w:rtl w:val="0"/>
        </w:rPr>
        <w:t xml:space="preserve">Se saranno raggiunti con successo gli obiettivi del progetto PoC, il fondo VV3TT potrà investire fino a 4 milioni di euro nella nuova impresa co-fondata </w:t>
      </w:r>
      <w:r w:rsidDel="00000000" w:rsidR="00000000" w:rsidRPr="00000000">
        <w:rPr>
          <w:rFonts w:ascii="Arial" w:cs="Arial" w:eastAsia="Arial" w:hAnsi="Arial"/>
          <w:highlight w:val="white"/>
          <w:rtl w:val="0"/>
        </w:rPr>
        <w:t xml:space="preserve">insieme</w:t>
      </w:r>
      <w:r w:rsidDel="00000000" w:rsidR="00000000" w:rsidRPr="00000000">
        <w:rPr>
          <w:rFonts w:ascii="Arial" w:cs="Arial" w:eastAsia="Arial" w:hAnsi="Arial"/>
          <w:color w:val="000000"/>
          <w:highlight w:val="white"/>
          <w:rtl w:val="0"/>
        </w:rPr>
        <w:t xml:space="preserve"> ai ricercatori. </w:t>
        <w:br w:type="textWrapping"/>
      </w:r>
      <w:r w:rsidDel="00000000" w:rsidR="00000000" w:rsidRPr="00000000">
        <w:rPr>
          <w:rFonts w:ascii="Arial" w:cs="Arial" w:eastAsia="Arial" w:hAnsi="Arial"/>
          <w:highlight w:val="white"/>
          <w:rtl w:val="0"/>
        </w:rPr>
        <w:t xml:space="preserve">Grazie anche all’accordo in essere tra HIT, Vertis SGR e Venture Factory, il bando premia le idee potenzialmente più interessanti per il mercato, valorizza in senso commerciale i risultati dell’attività di ricerca nata in ambito universitario o degli istituti di ricerca, favorendo il trasferimento tecnologico verso l’industria.</w:t>
        <w:br w:type="textWrapping"/>
      </w:r>
      <w:r w:rsidDel="00000000" w:rsidR="00000000" w:rsidRPr="00000000">
        <w:rPr>
          <w:rFonts w:ascii="Arial" w:cs="Arial" w:eastAsia="Arial" w:hAnsi="Arial"/>
          <w:color w:val="000000"/>
          <w:highlight w:val="white"/>
          <w:rtl w:val="0"/>
        </w:rPr>
        <w:t xml:space="preserve">Le candidature per partecipare al bando possono essere presentate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attraverso il sito web </w:t>
      </w:r>
      <w:hyperlink r:id="rId7">
        <w:r w:rsidDel="00000000" w:rsidR="00000000" w:rsidRPr="00000000">
          <w:rPr>
            <w:rFonts w:ascii="Arial" w:cs="Arial" w:eastAsia="Arial" w:hAnsi="Arial"/>
            <w:color w:val="0000ff"/>
            <w:highlight w:val="white"/>
            <w:u w:val="single"/>
            <w:vertAlign w:val="baseline"/>
            <w:rtl w:val="0"/>
          </w:rPr>
          <w:t xml:space="preserve">http://www.venturefactory.tech/poc-2020</w:t>
        </w:r>
      </w:hyperlink>
      <w:r w:rsidDel="00000000" w:rsidR="00000000" w:rsidRPr="00000000">
        <w:rPr>
          <w:rFonts w:ascii="Arial" w:cs="Arial" w:eastAsia="Arial" w:hAnsi="Arial"/>
          <w:color w:val="000000"/>
          <w:highlight w:val="white"/>
          <w:rtl w:val="0"/>
        </w:rPr>
        <w:t xml:space="preserve"> entro il 15 gennaio 2020.</w:t>
      </w:r>
    </w:p>
    <w:p w:rsidR="00000000" w:rsidDel="00000000" w:rsidP="00000000" w:rsidRDefault="00000000" w:rsidRPr="00000000" w14:paraId="00000006">
      <w:pPr>
        <w:ind w:left="0" w:hanging="2"/>
        <w:rPr>
          <w:rFonts w:ascii="Arial" w:cs="Arial" w:eastAsia="Arial" w:hAnsi="Arial"/>
          <w:b w:val="1"/>
          <w:color w:val="000000"/>
          <w:highlight w:val="white"/>
        </w:rPr>
      </w:pP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color w:val="000000"/>
          <w:highlight w:val="white"/>
          <w:rtl w:val="0"/>
        </w:rPr>
        <w:t xml:space="preserve">VV3TT - Vertis Venture 3 Tech Transfer</w:t>
      </w:r>
      <w:r w:rsidDel="00000000" w:rsidR="00000000" w:rsidRPr="00000000">
        <w:rPr>
          <w:rFonts w:ascii="Arial" w:cs="Arial" w:eastAsia="Arial" w:hAnsi="Arial"/>
          <w:color w:val="000000"/>
          <w:highlight w:val="white"/>
          <w:rtl w:val="0"/>
        </w:rPr>
        <w:t xml:space="preserve"> è uno dei principali fondi di seed venture capital a livello nazionale, un fondo di 40 milioni di euro dedicato esclusivamente al trasferimento tecnologico da università e istituzioni pubbliche di ricerca avviato dalla piattaforma ItaTech, iniziativa congiunta di Cassa Depositi e Prestiti e Fondo Europeo per gli Investimenti (FEI). L’investimento del FEI in VV3TT è supportato da InnovFin Equity, dall’Unione Europea all’interno del programma Horizon 2020 e dal Fondo Strategico per gli Investimenti Europeo (EFSI) creato all’interno del Piano di Investimenti per l’Europa. L’obiettivo dell’EFSI è quello di aiutare il finanziamento e implementare gli investimenti in produttività nell’Unione Europea, e assicurare un maggior accesso ai capitali.</w:t>
        <w:br w:type="textWrapping"/>
      </w:r>
      <w:r w:rsidDel="00000000" w:rsidR="00000000" w:rsidRPr="00000000">
        <w:rPr>
          <w:rtl w:val="0"/>
        </w:rPr>
      </w:r>
    </w:p>
    <w:p w:rsidR="00000000" w:rsidDel="00000000" w:rsidP="00000000" w:rsidRDefault="00000000" w:rsidRPr="00000000" w14:paraId="00000007">
      <w:pPr>
        <w:ind w:left="0"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Trento, 1</w:t>
      </w:r>
      <w:r w:rsidDel="00000000" w:rsidR="00000000" w:rsidRPr="00000000">
        <w:rPr>
          <w:rFonts w:ascii="Arial" w:cs="Arial" w:eastAsia="Arial" w:hAnsi="Arial"/>
          <w:highlight w:val="white"/>
          <w:rtl w:val="0"/>
        </w:rPr>
        <w:t xml:space="preserve">2 dicembre </w:t>
      </w:r>
      <w:r w:rsidDel="00000000" w:rsidR="00000000" w:rsidRPr="00000000">
        <w:rPr>
          <w:rFonts w:ascii="Arial" w:cs="Arial" w:eastAsia="Arial" w:hAnsi="Arial"/>
          <w:color w:val="000000"/>
          <w:highlight w:val="white"/>
          <w:rtl w:val="0"/>
        </w:rPr>
        <w:t xml:space="preserve">2019</w:t>
      </w:r>
    </w:p>
    <w:p w:rsidR="00000000" w:rsidDel="00000000" w:rsidP="00000000" w:rsidRDefault="00000000" w:rsidRPr="00000000" w14:paraId="00000009">
      <w:pPr>
        <w:ind w:left="0"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color w:val="000000"/>
          <w:highlight w:val="white"/>
        </w:rPr>
      </w:pPr>
      <w:r w:rsidDel="00000000" w:rsidR="00000000" w:rsidRPr="00000000">
        <w:rPr>
          <w:rFonts w:ascii="Arial" w:cs="Arial" w:eastAsia="Arial" w:hAnsi="Arial"/>
          <w:color w:val="000000"/>
          <w:sz w:val="20"/>
          <w:szCs w:val="20"/>
          <w:rtl w:val="0"/>
        </w:rPr>
        <w:t xml:space="preserve">Camilla Martinelli</w:t>
        <w:br w:type="textWrapping"/>
      </w:r>
      <w:r w:rsidDel="00000000" w:rsidR="00000000" w:rsidRPr="00000000">
        <w:rPr>
          <w:rFonts w:ascii="Arial" w:cs="Arial" w:eastAsia="Arial" w:hAnsi="Arial"/>
          <w:i w:val="1"/>
          <w:color w:val="000000"/>
          <w:sz w:val="20"/>
          <w:szCs w:val="20"/>
          <w:rtl w:val="0"/>
        </w:rPr>
        <w:t xml:space="preserve">HIT Communication Manager</w:t>
      </w:r>
      <w:r w:rsidDel="00000000" w:rsidR="00000000" w:rsidRPr="00000000">
        <w:rPr>
          <w:color w:val="000000"/>
          <w:sz w:val="20"/>
          <w:szCs w:val="20"/>
          <w:rtl w:val="0"/>
        </w:rPr>
        <w:br w:type="textWrapping"/>
      </w:r>
      <w:hyperlink r:id="rId8">
        <w:r w:rsidDel="00000000" w:rsidR="00000000" w:rsidRPr="00000000">
          <w:rPr>
            <w:rFonts w:ascii="Arial" w:cs="Arial" w:eastAsia="Arial" w:hAnsi="Arial"/>
            <w:color w:val="0000ff"/>
            <w:sz w:val="20"/>
            <w:szCs w:val="20"/>
            <w:u w:val="single"/>
            <w:rtl w:val="0"/>
          </w:rPr>
          <w:t xml:space="preserve">c.martinelli@trentinoinnovation.eu</w:t>
        </w:r>
      </w:hyperlink>
      <w:hyperlink r:id="rId9">
        <w:r w:rsidDel="00000000" w:rsidR="00000000" w:rsidRPr="00000000">
          <w:rPr>
            <w:rFonts w:ascii="Arial" w:cs="Arial" w:eastAsia="Arial" w:hAnsi="Arial"/>
            <w:color w:val="000000"/>
            <w:sz w:val="20"/>
            <w:szCs w:val="20"/>
            <w:rtl w:val="0"/>
          </w:rPr>
          <w:br w:type="textWrapping"/>
        </w:r>
      </w:hyperlink>
      <w:r w:rsidDel="00000000" w:rsidR="00000000" w:rsidRPr="00000000">
        <w:rPr>
          <w:rFonts w:ascii="Arial" w:cs="Arial" w:eastAsia="Arial" w:hAnsi="Arial"/>
          <w:color w:val="000000"/>
          <w:sz w:val="20"/>
          <w:szCs w:val="20"/>
          <w:rtl w:val="0"/>
        </w:rPr>
        <w:t xml:space="preserve">T + 39 0461 314057 </w:t>
        <w:br w:type="textWrapping"/>
        <w:t xml:space="preserve">M +39 331 6679183</w:t>
        <w:br w:type="textWrapping"/>
      </w:r>
      <w:hyperlink r:id="rId10">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1" w:type="default"/>
      <w:footerReference r:id="rId12"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 (TN)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-260348</wp:posOffset>
          </wp:positionV>
          <wp:extent cx="1190625" cy="42354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ind w:left="-1" w:leftChars="-1" w:hanging="1" w:hangingChars="1"/>
      <w:textDirection w:val="btLr"/>
      <w:textAlignment w:val="top"/>
      <w:outlineLvl w:val="0"/>
    </w:pPr>
    <w:rPr>
      <w:position w:val="-1"/>
      <w:lang w:eastAsia="zh-CN"/>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pPr>
      <w:keepNext w:val="1"/>
      <w:keepLines w:val="1"/>
      <w:spacing w:after="120" w:before="480"/>
    </w:pPr>
    <w:rPr>
      <w:b w:val="1"/>
      <w:sz w:val="72"/>
      <w:szCs w:val="72"/>
    </w:rPr>
  </w:style>
  <w:style w:type="character" w:styleId="Carpredefinitoparagrafo1" w:customStyle="1">
    <w:name w:val="Car. predefinito paragrafo1"/>
    <w:rPr>
      <w:w w:val="100"/>
      <w:position w:val="-1"/>
      <w:effect w:val="none"/>
      <w:vertAlign w:val="baseline"/>
      <w:cs w:val="0"/>
      <w:em w:val="none"/>
    </w:rPr>
  </w:style>
  <w:style w:type="character" w:styleId="IntestazioneCarattere" w:customStyle="1">
    <w:name w:val="Intestazione Carattere"/>
    <w:basedOn w:val="Carpredefinitoparagrafo1"/>
    <w:rPr>
      <w:w w:val="100"/>
      <w:position w:val="-1"/>
      <w:effect w:val="none"/>
      <w:vertAlign w:val="baseline"/>
      <w:cs w:val="0"/>
      <w:em w:val="none"/>
    </w:rPr>
  </w:style>
  <w:style w:type="character" w:styleId="PidipaginaCarattere" w:customStyle="1">
    <w:name w:val="Piè di pagina Carattere"/>
    <w:basedOn w:val="Carpredefinitoparagrafo1"/>
    <w:rPr>
      <w:w w:val="100"/>
      <w:position w:val="-1"/>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Riferimentointenso1" w:customStyle="1">
    <w:name w:val="Riferimento intenso1"/>
    <w:rPr>
      <w:b w:val="1"/>
      <w:bCs w:val="1"/>
      <w:smallCaps w:val="1"/>
      <w:color w:val="5b9bd5"/>
      <w:spacing w:val="5"/>
      <w:w w:val="100"/>
      <w:position w:val="-1"/>
      <w:effect w:val="none"/>
      <w:vertAlign w:val="baseline"/>
      <w:cs w:val="0"/>
      <w:em w:val="none"/>
    </w:rPr>
  </w:style>
  <w:style w:type="paragraph" w:styleId="Titolo10" w:customStyle="1">
    <w:name w:val="Titolo1"/>
    <w:basedOn w:val="Normale"/>
    <w:next w:val="Corpotesto"/>
    <w:pPr>
      <w:keepNext w:val="1"/>
      <w:spacing w:after="120" w:before="240"/>
    </w:pPr>
    <w:rPr>
      <w:rFonts w:ascii="Liberation Sans" w:cs="Mangal" w:eastAsia="Lucida Sans Unicode" w:hAnsi="Liberation Sans"/>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1" w:customStyle="1">
    <w:name w:val="Testo fumetto1"/>
    <w:basedOn w:val="Normale"/>
    <w:pPr>
      <w:spacing w:after="0" w:line="240" w:lineRule="auto"/>
    </w:pPr>
    <w:rPr>
      <w:rFonts w:ascii="Tahoma" w:cs="Tahoma" w:hAnsi="Tahoma"/>
      <w:sz w:val="16"/>
      <w:szCs w:val="16"/>
    </w:rPr>
  </w:style>
  <w:style w:type="paragraph" w:styleId="Nessunaspaziatura1" w:customStyle="1">
    <w:name w:val="Nessuna spaziatura1"/>
    <w:pPr>
      <w:spacing w:line="1" w:lineRule="atLeast"/>
      <w:ind w:left="-1" w:leftChars="-1" w:hanging="1" w:hangingChars="1"/>
      <w:textDirection w:val="btLr"/>
      <w:textAlignment w:val="top"/>
      <w:outlineLvl w:val="0"/>
    </w:pPr>
    <w:rPr>
      <w:position w:val="-1"/>
      <w:lang w:eastAsia="zh-CN"/>
    </w:rPr>
  </w:style>
  <w:style w:type="paragraph" w:styleId="Paragrafoelenco">
    <w:name w:val="List Paragraph"/>
    <w:basedOn w:val="Normale"/>
    <w:pPr>
      <w:suppressAutoHyphens w:val="1"/>
      <w:ind w:left="720"/>
      <w:contextualSpacing w:val="1"/>
    </w:pPr>
    <w:rPr>
      <w:rFonts w:cs="Times New Roman"/>
    </w:rPr>
  </w:style>
  <w:style w:type="character" w:styleId="FooterChar" w:customStyle="1">
    <w:name w:val="Footer Char"/>
    <w:rPr>
      <w:rFonts w:ascii="Calibri" w:eastAsia="Calibri" w:hAnsi="Calibri"/>
      <w:w w:val="100"/>
      <w:position w:val="-1"/>
      <w:sz w:val="22"/>
      <w:szCs w:val="22"/>
      <w:effect w:val="none"/>
      <w:vertAlign w:val="baseline"/>
      <w:cs w:val="0"/>
      <w:em w:val="none"/>
      <w:lang w:eastAsia="zh-CN"/>
    </w:rPr>
  </w:style>
  <w:style w:type="paragraph" w:styleId="Testofumetto">
    <w:name w:val="Balloon Text"/>
    <w:basedOn w:val="Normale"/>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eastAsia="Calibri" w:hAnsi="Segoe UI"/>
      <w:w w:val="100"/>
      <w:position w:val="-1"/>
      <w:sz w:val="18"/>
      <w:szCs w:val="18"/>
      <w:effect w:val="none"/>
      <w:vertAlign w:val="baseline"/>
      <w:cs w:val="0"/>
      <w:em w:val="none"/>
      <w:lang w:eastAsia="zh-CN"/>
    </w:rPr>
  </w:style>
  <w:style w:type="paragraph" w:styleId="Corpodeltesto3">
    <w:name w:val="Body Text 3"/>
    <w:basedOn w:val="Normale"/>
    <w:qFormat w:val="1"/>
    <w:pPr>
      <w:spacing w:after="120"/>
    </w:pPr>
    <w:rPr>
      <w:sz w:val="16"/>
      <w:szCs w:val="16"/>
    </w:rPr>
  </w:style>
  <w:style w:type="character" w:styleId="BodyText3Char" w:customStyle="1">
    <w:name w:val="Body Text 3 Char"/>
    <w:rPr>
      <w:rFonts w:ascii="Calibri" w:eastAsia="Calibri" w:hAnsi="Calibri"/>
      <w:w w:val="100"/>
      <w:position w:val="-1"/>
      <w:sz w:val="16"/>
      <w:szCs w:val="16"/>
      <w:effect w:val="none"/>
      <w:vertAlign w:val="baseline"/>
      <w:cs w:val="0"/>
      <w:em w:val="none"/>
      <w:lang w:eastAsia="zh-CN"/>
    </w:rPr>
  </w:style>
  <w:style w:type="paragraph" w:styleId="Nessunaspaziatura">
    <w:name w:val="No Spacing"/>
    <w:pPr>
      <w:suppressAutoHyphens w:val="1"/>
      <w:spacing w:line="1" w:lineRule="atLeast"/>
      <w:ind w:left="-1" w:leftChars="-1" w:hanging="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character" w:styleId="Menzionenonrisolta">
    <w:name w:val="Unresolved Mention"/>
    <w:basedOn w:val="Carpredefinitoparagrafo"/>
    <w:uiPriority w:val="99"/>
    <w:semiHidden w:val="1"/>
    <w:unhideWhenUsed w:val="1"/>
    <w:rsid w:val="00D978B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trentinoinnovation.eu" TargetMode="External"/><Relationship Id="rId12" Type="http://schemas.openxmlformats.org/officeDocument/2006/relationships/footer" Target="footer1.xml"/><Relationship Id="rId9" Type="http://schemas.openxmlformats.org/officeDocument/2006/relationships/hyperlink" Target="mailto:c.martinelli@trentinoinnovation.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enturefactory.tech/poc-2020" TargetMode="External"/><Relationship Id="rId8" Type="http://schemas.openxmlformats.org/officeDocument/2006/relationships/hyperlink" Target="mailto:c.martinelli@trentinoinnovation.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oHvqyaQO5g7hEykzvp68TRh+Q==">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2019-11-13T13:52:00Z</dcterms:created>
  <dc:creator>Leonardo Maraner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0x0101005DF5C2A132FB7D48A1F3B9753C97D2A7</vt:lpwstr>
  </property>
</Properties>
</file>