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1C" w:rsidRDefault="0097781C">
      <w:pPr>
        <w:spacing w:after="60"/>
        <w:jc w:val="right"/>
        <w:rPr>
          <w:rFonts w:ascii="Arial" w:eastAsia="Roboto" w:hAnsi="Arial" w:cs="Arial"/>
          <w:b/>
          <w:sz w:val="22"/>
          <w:szCs w:val="22"/>
          <w:u w:val="single"/>
        </w:rPr>
      </w:pPr>
    </w:p>
    <w:p w:rsidR="00510604" w:rsidRPr="004F04CB" w:rsidRDefault="00BF21CF">
      <w:pPr>
        <w:spacing w:after="60"/>
        <w:jc w:val="right"/>
        <w:rPr>
          <w:rFonts w:ascii="Arial" w:eastAsia="Roboto" w:hAnsi="Arial" w:cs="Arial"/>
          <w:sz w:val="22"/>
          <w:szCs w:val="22"/>
        </w:rPr>
      </w:pPr>
      <w:r w:rsidRPr="004F04CB">
        <w:rPr>
          <w:rFonts w:ascii="Arial" w:eastAsia="Roboto" w:hAnsi="Arial" w:cs="Arial"/>
          <w:b/>
          <w:sz w:val="22"/>
          <w:szCs w:val="22"/>
          <w:u w:val="single"/>
        </w:rPr>
        <w:t xml:space="preserve">Comunicato stampa </w:t>
      </w:r>
    </w:p>
    <w:p w:rsidR="00510604" w:rsidRPr="004F04CB" w:rsidRDefault="00BF21CF">
      <w:pPr>
        <w:spacing w:after="60"/>
        <w:jc w:val="right"/>
        <w:rPr>
          <w:rFonts w:ascii="Arial" w:eastAsia="Roboto" w:hAnsi="Arial" w:cs="Arial"/>
          <w:sz w:val="22"/>
          <w:szCs w:val="22"/>
        </w:rPr>
      </w:pPr>
      <w:r w:rsidRPr="004F04CB">
        <w:rPr>
          <w:rFonts w:ascii="Arial" w:eastAsia="Roboto" w:hAnsi="Arial" w:cs="Arial"/>
          <w:b/>
          <w:sz w:val="22"/>
          <w:szCs w:val="22"/>
        </w:rPr>
        <w:t xml:space="preserve">TRENTO, </w:t>
      </w:r>
      <w:r w:rsidR="0097781C">
        <w:rPr>
          <w:rFonts w:ascii="Arial" w:eastAsia="Roboto" w:hAnsi="Arial" w:cs="Arial"/>
          <w:b/>
          <w:sz w:val="22"/>
          <w:szCs w:val="22"/>
        </w:rPr>
        <w:t>23</w:t>
      </w:r>
      <w:r w:rsidRPr="004F04CB">
        <w:rPr>
          <w:rFonts w:ascii="Arial" w:eastAsia="Roboto" w:hAnsi="Arial" w:cs="Arial"/>
          <w:b/>
          <w:sz w:val="22"/>
          <w:szCs w:val="22"/>
        </w:rPr>
        <w:t xml:space="preserve"> </w:t>
      </w:r>
      <w:r w:rsidR="0097781C">
        <w:rPr>
          <w:rFonts w:ascii="Arial" w:eastAsia="Roboto" w:hAnsi="Arial" w:cs="Arial"/>
          <w:b/>
          <w:sz w:val="22"/>
          <w:szCs w:val="22"/>
        </w:rPr>
        <w:t>luglio</w:t>
      </w:r>
      <w:r w:rsidRPr="004F04CB">
        <w:rPr>
          <w:rFonts w:ascii="Arial" w:eastAsia="Roboto" w:hAnsi="Arial" w:cs="Arial"/>
          <w:b/>
          <w:sz w:val="22"/>
          <w:szCs w:val="22"/>
        </w:rPr>
        <w:t xml:space="preserve"> 2018</w:t>
      </w:r>
    </w:p>
    <w:p w:rsidR="00510604" w:rsidRPr="004F04CB" w:rsidRDefault="00510604">
      <w:pPr>
        <w:spacing w:after="60"/>
        <w:jc w:val="right"/>
        <w:rPr>
          <w:rFonts w:ascii="Arial" w:eastAsia="Arial" w:hAnsi="Arial" w:cs="Arial"/>
          <w:sz w:val="22"/>
          <w:szCs w:val="22"/>
        </w:rPr>
      </w:pPr>
    </w:p>
    <w:p w:rsidR="00510604" w:rsidRPr="004F04CB" w:rsidRDefault="005106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 w:line="360" w:lineRule="auto"/>
        <w:jc w:val="center"/>
        <w:rPr>
          <w:rFonts w:ascii="Arial" w:eastAsia="Montserrat" w:hAnsi="Arial" w:cs="Arial"/>
          <w:b/>
          <w:color w:val="005CAC"/>
          <w:sz w:val="16"/>
          <w:szCs w:val="16"/>
        </w:rPr>
      </w:pPr>
    </w:p>
    <w:p w:rsidR="00510604" w:rsidRPr="004F04CB" w:rsidRDefault="009778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eastAsia="Montserrat" w:hAnsi="Arial" w:cs="Arial"/>
          <w:b/>
          <w:color w:val="005CAC"/>
          <w:sz w:val="28"/>
          <w:szCs w:val="28"/>
        </w:rPr>
      </w:pPr>
      <w:r w:rsidRPr="0097781C">
        <w:rPr>
          <w:rFonts w:ascii="Arial" w:eastAsia="Montserrat" w:hAnsi="Arial" w:cs="Arial"/>
          <w:b/>
          <w:color w:val="005CAC"/>
          <w:sz w:val="28"/>
          <w:szCs w:val="28"/>
        </w:rPr>
        <w:t xml:space="preserve">Nature </w:t>
      </w:r>
      <w:r>
        <w:rPr>
          <w:rFonts w:ascii="Arial" w:eastAsia="Montserrat" w:hAnsi="Arial" w:cs="Arial"/>
          <w:b/>
          <w:color w:val="005CAC"/>
          <w:sz w:val="28"/>
          <w:szCs w:val="28"/>
        </w:rPr>
        <w:t>ha pubblicato una ricerca congiunta FBK</w:t>
      </w:r>
      <w:r w:rsidR="00BE6F92">
        <w:rPr>
          <w:rFonts w:ascii="Arial" w:eastAsia="Montserrat" w:hAnsi="Arial" w:cs="Arial"/>
          <w:b/>
          <w:color w:val="005CAC"/>
          <w:sz w:val="28"/>
          <w:szCs w:val="28"/>
        </w:rPr>
        <w:t xml:space="preserve"> </w:t>
      </w:r>
      <w:r>
        <w:rPr>
          <w:rFonts w:ascii="Arial" w:eastAsia="Montserrat" w:hAnsi="Arial" w:cs="Arial"/>
          <w:b/>
          <w:color w:val="005CAC"/>
          <w:sz w:val="28"/>
          <w:szCs w:val="28"/>
        </w:rPr>
        <w:t>-</w:t>
      </w:r>
      <w:r w:rsidR="00BE6F92">
        <w:rPr>
          <w:rFonts w:ascii="Arial" w:eastAsia="Montserrat" w:hAnsi="Arial" w:cs="Arial"/>
          <w:b/>
          <w:color w:val="005CAC"/>
          <w:sz w:val="28"/>
          <w:szCs w:val="28"/>
        </w:rPr>
        <w:t xml:space="preserve"> </w:t>
      </w:r>
      <w:r>
        <w:rPr>
          <w:rFonts w:ascii="Arial" w:eastAsia="Montserrat" w:hAnsi="Arial" w:cs="Arial"/>
          <w:b/>
          <w:color w:val="005CAC"/>
          <w:sz w:val="28"/>
          <w:szCs w:val="28"/>
        </w:rPr>
        <w:t xml:space="preserve">FEM </w:t>
      </w:r>
      <w:r w:rsidR="00BE6F92">
        <w:rPr>
          <w:rFonts w:ascii="Arial" w:eastAsia="Montserrat" w:hAnsi="Arial" w:cs="Arial"/>
          <w:b/>
          <w:color w:val="005CAC"/>
          <w:sz w:val="28"/>
          <w:szCs w:val="28"/>
        </w:rPr>
        <w:br/>
      </w:r>
      <w:r>
        <w:rPr>
          <w:rFonts w:ascii="Arial" w:eastAsia="Montserrat" w:hAnsi="Arial" w:cs="Arial"/>
          <w:b/>
          <w:color w:val="005CAC"/>
          <w:sz w:val="28"/>
          <w:szCs w:val="28"/>
        </w:rPr>
        <w:t>su</w:t>
      </w:r>
      <w:r w:rsidR="00BE6F92">
        <w:rPr>
          <w:rFonts w:ascii="Arial" w:eastAsia="Montserrat" w:hAnsi="Arial" w:cs="Arial"/>
          <w:b/>
          <w:color w:val="005CAC"/>
          <w:sz w:val="28"/>
          <w:szCs w:val="28"/>
        </w:rPr>
        <w:t>lla diffusione</w:t>
      </w:r>
      <w:r w:rsidRPr="0097781C">
        <w:rPr>
          <w:rFonts w:ascii="Arial" w:eastAsia="Montserrat" w:hAnsi="Arial" w:cs="Arial"/>
          <w:b/>
          <w:color w:val="005CAC"/>
          <w:sz w:val="28"/>
          <w:szCs w:val="28"/>
        </w:rPr>
        <w:t xml:space="preserve"> </w:t>
      </w:r>
      <w:r w:rsidR="00BE6F92">
        <w:rPr>
          <w:rFonts w:ascii="Arial" w:eastAsia="Montserrat" w:hAnsi="Arial" w:cs="Arial"/>
          <w:b/>
          <w:color w:val="005CAC"/>
          <w:sz w:val="28"/>
          <w:szCs w:val="28"/>
        </w:rPr>
        <w:t>del</w:t>
      </w:r>
      <w:r w:rsidRPr="0097781C">
        <w:rPr>
          <w:rFonts w:ascii="Arial" w:eastAsia="Montserrat" w:hAnsi="Arial" w:cs="Arial"/>
          <w:b/>
          <w:color w:val="005CAC"/>
          <w:sz w:val="28"/>
          <w:szCs w:val="28"/>
        </w:rPr>
        <w:t>la febbre dengue</w:t>
      </w:r>
    </w:p>
    <w:p w:rsidR="0097781C" w:rsidRDefault="0097781C" w:rsidP="00BE6F92">
      <w:pPr>
        <w:pStyle w:val="Titolo2"/>
        <w:jc w:val="both"/>
      </w:pPr>
      <w:r>
        <w:t xml:space="preserve">La prestigiosa rivista scientifica Nature Communications ha pubblicato </w:t>
      </w:r>
      <w:r w:rsidR="00D33DED">
        <w:t xml:space="preserve">un </w:t>
      </w:r>
      <w:r>
        <w:t xml:space="preserve">articolo </w:t>
      </w:r>
      <w:r w:rsidR="00BE6F92">
        <w:t xml:space="preserve">firmato dai ricercatori trentini </w:t>
      </w:r>
      <w:r w:rsidR="00BE6F92" w:rsidRPr="00BE6F92">
        <w:t xml:space="preserve">Giorgio </w:t>
      </w:r>
      <w:proofErr w:type="spellStart"/>
      <w:r w:rsidR="00BE6F92" w:rsidRPr="00BE6F92">
        <w:t>Guzzetta</w:t>
      </w:r>
      <w:proofErr w:type="spellEnd"/>
      <w:r w:rsidR="00BE6F92" w:rsidRPr="00BE6F92">
        <w:t xml:space="preserve">, Roberto Rosà e Stefano </w:t>
      </w:r>
      <w:proofErr w:type="spellStart"/>
      <w:r w:rsidR="00BE6F92" w:rsidRPr="00BE6F92">
        <w:t>Merler</w:t>
      </w:r>
      <w:proofErr w:type="spellEnd"/>
      <w:r w:rsidR="00BE6F92">
        <w:t xml:space="preserve"> sull’analisi</w:t>
      </w:r>
      <w:r w:rsidR="00BE6F92" w:rsidRPr="00BE6F92">
        <w:t xml:space="preserve"> della</w:t>
      </w:r>
      <w:r w:rsidR="00BE6F92" w:rsidRPr="00BE6F92">
        <w:t xml:space="preserve"> diffusione della dengue a Porto </w:t>
      </w:r>
      <w:proofErr w:type="spellStart"/>
      <w:r w:rsidR="00BE6F92" w:rsidRPr="00BE6F92">
        <w:t>Alegre</w:t>
      </w:r>
      <w:proofErr w:type="spellEnd"/>
      <w:r w:rsidR="00BE6F92" w:rsidRPr="00BE6F92">
        <w:t xml:space="preserve">, una delle poche metropoli brasiliane rimasta fino a pochi anni fa indenne dal virus grazie a un clima temperato, simile </w:t>
      </w:r>
      <w:r w:rsidR="00D33DED">
        <w:t>al</w:t>
      </w:r>
      <w:r w:rsidR="00BE6F92" w:rsidRPr="00BE6F92">
        <w:t xml:space="preserve"> nostr</w:t>
      </w:r>
      <w:r w:rsidR="00D33DED">
        <w:t>o.</w:t>
      </w:r>
    </w:p>
    <w:p w:rsidR="00510604" w:rsidRPr="004F04CB" w:rsidRDefault="00510604">
      <w:pPr>
        <w:spacing w:line="276" w:lineRule="auto"/>
        <w:jc w:val="both"/>
        <w:rPr>
          <w:rFonts w:ascii="Arial" w:eastAsia="Arial" w:hAnsi="Arial" w:cs="Arial"/>
          <w:b/>
          <w:i/>
          <w:color w:val="333333"/>
          <w:highlight w:val="white"/>
        </w:rPr>
      </w:pPr>
    </w:p>
    <w:p w:rsidR="0097781C" w:rsidRPr="0097781C" w:rsidRDefault="0097781C" w:rsidP="00BE6F92">
      <w:pPr>
        <w:spacing w:line="276" w:lineRule="auto"/>
        <w:jc w:val="both"/>
        <w:rPr>
          <w:rFonts w:ascii="Arial" w:eastAsia="Arial" w:hAnsi="Arial" w:cs="Arial"/>
          <w:color w:val="333333"/>
          <w:sz w:val="22"/>
          <w:szCs w:val="22"/>
        </w:rPr>
      </w:pPr>
      <w:r w:rsidRPr="0097781C">
        <w:rPr>
          <w:rFonts w:ascii="Arial" w:eastAsia="Arial" w:hAnsi="Arial" w:cs="Arial"/>
          <w:color w:val="333333"/>
          <w:sz w:val="22"/>
          <w:szCs w:val="22"/>
        </w:rPr>
        <w:t>La febbre dengue è una delle molte malattie trasmesse da zanzare che in tempi recenti si sono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espanse molto al di fuori delle zone tropicali di origine, dove sono endemiche. Ad esempio, prima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del 2010, gli ultimi casi trasmessi in Europa risalivano al 1928; negli ultimi otto anni invece si sono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registrati ripetuti episodi di trasmissione locale di dengue in Francia e Croazia, e una grande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epidemia nell’isola portoghese di Madeira. Capire come si diffonde l’infezione nello spazio e nel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tempo in queste zone di nuova espansione ha un’importanza cruciale per implementare strategie di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intervento efficaci ed economicamente efficienti. Risultati recenti hanno evidenziato che in questi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contesti, oltre il 70% delle infezioni viene contratto in un raggio di 500 metri dal luogo di residenza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di individui infetti, e che l’area coinvolta da un focolaio epidemico aumenta il suo diametro di circa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600 metri al mese. L’applicazione di insetticidi nelle aree interessate pu</w:t>
      </w:r>
      <w:r w:rsidR="00BE6F92">
        <w:rPr>
          <w:rFonts w:ascii="Arial" w:eastAsia="Arial" w:hAnsi="Arial" w:cs="Arial"/>
          <w:color w:val="333333"/>
          <w:sz w:val="22"/>
          <w:szCs w:val="22"/>
        </w:rPr>
        <w:t>ò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 comunque smorzare la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trasmissione efficacemente: se gli interventi avvengono entro un mese dal caso che ha dato inizio al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focolaio si possono evitare oltre due terzi dei casi di infezione e ridurre della stessa quantità la sua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durata e l’area coinvolta.</w:t>
      </w:r>
    </w:p>
    <w:p w:rsidR="00BE6F92" w:rsidRDefault="0097781C" w:rsidP="00BE6F92">
      <w:pPr>
        <w:spacing w:line="276" w:lineRule="auto"/>
        <w:jc w:val="both"/>
        <w:rPr>
          <w:rFonts w:ascii="Arial" w:eastAsia="Arial" w:hAnsi="Arial" w:cs="Arial"/>
          <w:color w:val="333333"/>
          <w:sz w:val="22"/>
          <w:szCs w:val="22"/>
        </w:rPr>
      </w:pPr>
      <w:r w:rsidRPr="0097781C">
        <w:rPr>
          <w:rFonts w:ascii="Arial" w:eastAsia="Arial" w:hAnsi="Arial" w:cs="Arial"/>
          <w:color w:val="333333"/>
          <w:sz w:val="22"/>
          <w:szCs w:val="22"/>
        </w:rPr>
        <w:t>A queste importanti conclusioni, pubblicate sulla prestigiosa rivista scientifica Nature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Communications, sono giunti Giorgio </w:t>
      </w:r>
      <w:proofErr w:type="spellStart"/>
      <w:r w:rsidRPr="0097781C">
        <w:rPr>
          <w:rFonts w:ascii="Arial" w:eastAsia="Arial" w:hAnsi="Arial" w:cs="Arial"/>
          <w:color w:val="333333"/>
          <w:sz w:val="22"/>
          <w:szCs w:val="22"/>
        </w:rPr>
        <w:t>Guzzetta</w:t>
      </w:r>
      <w:proofErr w:type="spellEnd"/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, Roberto Rosà e Stefano </w:t>
      </w:r>
      <w:proofErr w:type="spellStart"/>
      <w:r w:rsidRPr="0097781C">
        <w:rPr>
          <w:rFonts w:ascii="Arial" w:eastAsia="Arial" w:hAnsi="Arial" w:cs="Arial"/>
          <w:color w:val="333333"/>
          <w:sz w:val="22"/>
          <w:szCs w:val="22"/>
        </w:rPr>
        <w:t>Merler</w:t>
      </w:r>
      <w:proofErr w:type="spellEnd"/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 di </w:t>
      </w:r>
      <w:proofErr w:type="spellStart"/>
      <w:r w:rsidRPr="0097781C">
        <w:rPr>
          <w:rFonts w:ascii="Arial" w:eastAsia="Arial" w:hAnsi="Arial" w:cs="Arial"/>
          <w:color w:val="333333"/>
          <w:sz w:val="22"/>
          <w:szCs w:val="22"/>
        </w:rPr>
        <w:t>Epilab</w:t>
      </w:r>
      <w:proofErr w:type="spellEnd"/>
      <w:r w:rsidRPr="0097781C">
        <w:rPr>
          <w:rFonts w:ascii="Arial" w:eastAsia="Arial" w:hAnsi="Arial" w:cs="Arial"/>
          <w:color w:val="333333"/>
          <w:sz w:val="22"/>
          <w:szCs w:val="22"/>
        </w:rPr>
        <w:t>, l’unità di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ricerca condivisa (Joint </w:t>
      </w:r>
      <w:proofErr w:type="spellStart"/>
      <w:r w:rsidRPr="0097781C">
        <w:rPr>
          <w:rFonts w:ascii="Arial" w:eastAsia="Arial" w:hAnsi="Arial" w:cs="Arial"/>
          <w:color w:val="333333"/>
          <w:sz w:val="22"/>
          <w:szCs w:val="22"/>
        </w:rPr>
        <w:t>Research</w:t>
      </w:r>
      <w:proofErr w:type="spellEnd"/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 Unit) recentemente costituita tra la Fondazione Bruno Kessler e la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Fondazione Edmund Mach nell’ambito dell’epidemiologia quantitativa delle malattie emergenti. </w:t>
      </w:r>
    </w:p>
    <w:p w:rsidR="0097781C" w:rsidRDefault="0097781C" w:rsidP="00BE6F92">
      <w:pPr>
        <w:spacing w:line="276" w:lineRule="auto"/>
        <w:jc w:val="both"/>
        <w:rPr>
          <w:rFonts w:ascii="Arial" w:eastAsia="Arial" w:hAnsi="Arial" w:cs="Arial"/>
          <w:color w:val="333333"/>
          <w:sz w:val="22"/>
          <w:szCs w:val="22"/>
        </w:rPr>
      </w:pPr>
      <w:r w:rsidRPr="0097781C">
        <w:rPr>
          <w:rFonts w:ascii="Arial" w:eastAsia="Arial" w:hAnsi="Arial" w:cs="Arial"/>
          <w:color w:val="333333"/>
          <w:sz w:val="22"/>
          <w:szCs w:val="22"/>
        </w:rPr>
        <w:t>Lo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studio, intitolato </w:t>
      </w:r>
      <w:r w:rsidR="00BE6F92">
        <w:rPr>
          <w:rFonts w:ascii="Arial" w:eastAsia="Arial" w:hAnsi="Arial" w:cs="Arial"/>
          <w:color w:val="333333"/>
          <w:sz w:val="22"/>
          <w:szCs w:val="22"/>
        </w:rPr>
        <w:t>“</w:t>
      </w:r>
      <w:proofErr w:type="spellStart"/>
      <w:r w:rsidRPr="0097781C">
        <w:rPr>
          <w:rFonts w:ascii="Arial" w:eastAsia="Arial" w:hAnsi="Arial" w:cs="Arial"/>
          <w:color w:val="333333"/>
          <w:sz w:val="22"/>
          <w:szCs w:val="22"/>
        </w:rPr>
        <w:t>Quantifying</w:t>
      </w:r>
      <w:proofErr w:type="spellEnd"/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 the </w:t>
      </w:r>
      <w:proofErr w:type="spellStart"/>
      <w:r w:rsidRPr="0097781C">
        <w:rPr>
          <w:rFonts w:ascii="Arial" w:eastAsia="Arial" w:hAnsi="Arial" w:cs="Arial"/>
          <w:color w:val="333333"/>
          <w:sz w:val="22"/>
          <w:szCs w:val="22"/>
        </w:rPr>
        <w:t>spatio</w:t>
      </w:r>
      <w:r w:rsidR="00BE6F92">
        <w:rPr>
          <w:rFonts w:ascii="Arial" w:eastAsia="Arial" w:hAnsi="Arial" w:cs="Arial"/>
          <w:color w:val="333333"/>
          <w:sz w:val="22"/>
          <w:szCs w:val="22"/>
        </w:rPr>
        <w:t>-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temporal</w:t>
      </w:r>
      <w:proofErr w:type="spellEnd"/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 spread of dengue in a non-</w:t>
      </w:r>
      <w:proofErr w:type="spellStart"/>
      <w:r w:rsidRPr="0097781C">
        <w:rPr>
          <w:rFonts w:ascii="Arial" w:eastAsia="Arial" w:hAnsi="Arial" w:cs="Arial"/>
          <w:color w:val="333333"/>
          <w:sz w:val="22"/>
          <w:szCs w:val="22"/>
        </w:rPr>
        <w:t>endemic</w:t>
      </w:r>
      <w:proofErr w:type="spellEnd"/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proofErr w:type="spellStart"/>
      <w:r w:rsidRPr="0097781C">
        <w:rPr>
          <w:rFonts w:ascii="Arial" w:eastAsia="Arial" w:hAnsi="Arial" w:cs="Arial"/>
          <w:color w:val="333333"/>
          <w:sz w:val="22"/>
          <w:szCs w:val="22"/>
        </w:rPr>
        <w:t>Brazilian</w:t>
      </w:r>
      <w:proofErr w:type="spellEnd"/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proofErr w:type="spellStart"/>
      <w:r w:rsidRPr="0097781C">
        <w:rPr>
          <w:rFonts w:ascii="Arial" w:eastAsia="Arial" w:hAnsi="Arial" w:cs="Arial"/>
          <w:color w:val="333333"/>
          <w:sz w:val="22"/>
          <w:szCs w:val="22"/>
        </w:rPr>
        <w:t>metropolis</w:t>
      </w:r>
      <w:proofErr w:type="spellEnd"/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 via </w:t>
      </w:r>
      <w:proofErr w:type="spellStart"/>
      <w:r w:rsidRPr="0097781C">
        <w:rPr>
          <w:rFonts w:ascii="Arial" w:eastAsia="Arial" w:hAnsi="Arial" w:cs="Arial"/>
          <w:color w:val="333333"/>
          <w:sz w:val="22"/>
          <w:szCs w:val="22"/>
        </w:rPr>
        <w:t>transmission</w:t>
      </w:r>
      <w:proofErr w:type="spellEnd"/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proofErr w:type="spellStart"/>
      <w:r w:rsidRPr="0097781C">
        <w:rPr>
          <w:rFonts w:ascii="Arial" w:eastAsia="Arial" w:hAnsi="Arial" w:cs="Arial"/>
          <w:color w:val="333333"/>
          <w:sz w:val="22"/>
          <w:szCs w:val="22"/>
        </w:rPr>
        <w:t>chain</w:t>
      </w:r>
      <w:proofErr w:type="spellEnd"/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proofErr w:type="spellStart"/>
      <w:r w:rsidRPr="0097781C">
        <w:rPr>
          <w:rFonts w:ascii="Arial" w:eastAsia="Arial" w:hAnsi="Arial" w:cs="Arial"/>
          <w:color w:val="333333"/>
          <w:sz w:val="22"/>
          <w:szCs w:val="22"/>
        </w:rPr>
        <w:t>reconstruction</w:t>
      </w:r>
      <w:proofErr w:type="spellEnd"/>
      <w:r w:rsidR="00BE6F92">
        <w:rPr>
          <w:rFonts w:ascii="Arial" w:eastAsia="Arial" w:hAnsi="Arial" w:cs="Arial"/>
          <w:color w:val="333333"/>
          <w:sz w:val="22"/>
          <w:szCs w:val="22"/>
        </w:rPr>
        <w:t>”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, è stato condotto in collaborazione con due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ricercatori dell’Università Federale di </w:t>
      </w:r>
      <w:proofErr w:type="spellStart"/>
      <w:r w:rsidRPr="0097781C">
        <w:rPr>
          <w:rFonts w:ascii="Arial" w:eastAsia="Arial" w:hAnsi="Arial" w:cs="Arial"/>
          <w:color w:val="333333"/>
          <w:sz w:val="22"/>
          <w:szCs w:val="22"/>
        </w:rPr>
        <w:t>Minas</w:t>
      </w:r>
      <w:proofErr w:type="spellEnd"/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proofErr w:type="spellStart"/>
      <w:r w:rsidRPr="0097781C">
        <w:rPr>
          <w:rFonts w:ascii="Arial" w:eastAsia="Arial" w:hAnsi="Arial" w:cs="Arial"/>
          <w:color w:val="333333"/>
          <w:sz w:val="22"/>
          <w:szCs w:val="22"/>
        </w:rPr>
        <w:t>Gerais</w:t>
      </w:r>
      <w:proofErr w:type="spellEnd"/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 (Brasile) e ha analizzato la diffusione della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dengue a Porto </w:t>
      </w:r>
      <w:proofErr w:type="spellStart"/>
      <w:r w:rsidRPr="0097781C">
        <w:rPr>
          <w:rFonts w:ascii="Arial" w:eastAsia="Arial" w:hAnsi="Arial" w:cs="Arial"/>
          <w:color w:val="333333"/>
          <w:sz w:val="22"/>
          <w:szCs w:val="22"/>
        </w:rPr>
        <w:t>Alegre</w:t>
      </w:r>
      <w:proofErr w:type="spellEnd"/>
      <w:r w:rsidRPr="0097781C">
        <w:rPr>
          <w:rFonts w:ascii="Arial" w:eastAsia="Arial" w:hAnsi="Arial" w:cs="Arial"/>
          <w:color w:val="333333"/>
          <w:sz w:val="22"/>
          <w:szCs w:val="22"/>
        </w:rPr>
        <w:t>, una delle poche metropoli brasiliane rimasta fino a pochi anni fa indenne dal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virus grazie a un clima temperato, simile a quello delle nostre latitudini. Come avvenuto per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l’Europa, anche a Porto </w:t>
      </w:r>
      <w:proofErr w:type="spellStart"/>
      <w:r w:rsidRPr="0097781C">
        <w:rPr>
          <w:rFonts w:ascii="Arial" w:eastAsia="Arial" w:hAnsi="Arial" w:cs="Arial"/>
          <w:color w:val="333333"/>
          <w:sz w:val="22"/>
          <w:szCs w:val="22"/>
        </w:rPr>
        <w:t>Alegre</w:t>
      </w:r>
      <w:proofErr w:type="spellEnd"/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 le autorità sanitarie hanno iniziato a registrare i primi casi sporadici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di trasmissione nel 2010, e dal 2013 si sono verificati numerosi focolai epidemici che hanno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coinvolto almeno tremila persone in varie zone della città.</w:t>
      </w:r>
    </w:p>
    <w:p w:rsidR="00BE6F92" w:rsidRPr="0097781C" w:rsidRDefault="00BE6F92" w:rsidP="00BE6F92">
      <w:pPr>
        <w:spacing w:line="276" w:lineRule="auto"/>
        <w:jc w:val="both"/>
        <w:rPr>
          <w:rFonts w:ascii="Arial" w:eastAsia="Arial" w:hAnsi="Arial" w:cs="Arial"/>
          <w:color w:val="333333"/>
          <w:sz w:val="22"/>
          <w:szCs w:val="22"/>
        </w:rPr>
      </w:pPr>
    </w:p>
    <w:p w:rsidR="0097781C" w:rsidRDefault="0097781C" w:rsidP="00BE6F92">
      <w:pPr>
        <w:spacing w:line="276" w:lineRule="auto"/>
        <w:jc w:val="both"/>
        <w:rPr>
          <w:rFonts w:ascii="Arial" w:eastAsia="Arial" w:hAnsi="Arial" w:cs="Arial"/>
          <w:color w:val="333333"/>
          <w:sz w:val="22"/>
          <w:szCs w:val="22"/>
        </w:rPr>
      </w:pPr>
      <w:r w:rsidRPr="0097781C">
        <w:rPr>
          <w:rFonts w:ascii="Arial" w:eastAsia="Arial" w:hAnsi="Arial" w:cs="Arial"/>
          <w:color w:val="333333"/>
          <w:sz w:val="22"/>
          <w:szCs w:val="22"/>
        </w:rPr>
        <w:t>Usando tecniche statistiche innovative, i ricercatori trentini sono riusciti a ricostruire la sequenza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probabile degli eventi di trasmissione, ovvero “</w:t>
      </w:r>
      <w:r w:rsidRPr="00D33DED">
        <w:rPr>
          <w:rFonts w:ascii="Arial" w:eastAsia="Arial" w:hAnsi="Arial" w:cs="Arial"/>
          <w:b/>
          <w:color w:val="333333"/>
          <w:sz w:val="22"/>
          <w:szCs w:val="22"/>
        </w:rPr>
        <w:t>chi ha infettato chi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”, e da questa sono risaliti alle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informazioni sulla dinamica spaziale e temporale dell’infezione. “Le specie di zanzare che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trasmettono la dengue a Porto </w:t>
      </w:r>
      <w:proofErr w:type="spellStart"/>
      <w:r w:rsidRPr="0097781C">
        <w:rPr>
          <w:rFonts w:ascii="Arial" w:eastAsia="Arial" w:hAnsi="Arial" w:cs="Arial"/>
          <w:color w:val="333333"/>
          <w:sz w:val="22"/>
          <w:szCs w:val="22"/>
        </w:rPr>
        <w:t>Alegre</w:t>
      </w:r>
      <w:proofErr w:type="spellEnd"/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 raramente si spostano a distanze superiori ai 100 metri. I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nostri risultati mostrano quindi che il contagio avviene principalmente tramite i movimenti delle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persone”, spiega Stefano </w:t>
      </w:r>
      <w:proofErr w:type="spellStart"/>
      <w:r w:rsidRPr="0097781C">
        <w:rPr>
          <w:rFonts w:ascii="Arial" w:eastAsia="Arial" w:hAnsi="Arial" w:cs="Arial"/>
          <w:color w:val="333333"/>
          <w:sz w:val="22"/>
          <w:szCs w:val="22"/>
        </w:rPr>
        <w:t>Merler</w:t>
      </w:r>
      <w:proofErr w:type="spellEnd"/>
      <w:r w:rsidRPr="0097781C">
        <w:rPr>
          <w:rFonts w:ascii="Arial" w:eastAsia="Arial" w:hAnsi="Arial" w:cs="Arial"/>
          <w:color w:val="333333"/>
          <w:sz w:val="22"/>
          <w:szCs w:val="22"/>
        </w:rPr>
        <w:t>. “In particolare, i responsabili principali sono gli spostamenti brevi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a piedi o in b</w:t>
      </w:r>
      <w:bookmarkStart w:id="0" w:name="_GoBack"/>
      <w:bookmarkEnd w:id="0"/>
      <w:r w:rsidRPr="0097781C">
        <w:rPr>
          <w:rFonts w:ascii="Arial" w:eastAsia="Arial" w:hAnsi="Arial" w:cs="Arial"/>
          <w:color w:val="333333"/>
          <w:sz w:val="22"/>
          <w:szCs w:val="22"/>
        </w:rPr>
        <w:t>icicletta nei dintorni della propria abitazione, piuttosto che i lunghi tragitti di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pendolarismo effettuati con i mezzi. Tuttavia, le trasmissioni che occasionalmente avvengono lungo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distanze maggiori favoriscono l’innesco di nuovi focolai in zone diverse della stessa area urbana o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anche in altre città”.</w:t>
      </w:r>
    </w:p>
    <w:p w:rsidR="00BE6F92" w:rsidRPr="0097781C" w:rsidRDefault="00BE6F92" w:rsidP="00BE6F92">
      <w:pPr>
        <w:spacing w:line="276" w:lineRule="auto"/>
        <w:jc w:val="both"/>
        <w:rPr>
          <w:rFonts w:ascii="Arial" w:eastAsia="Arial" w:hAnsi="Arial" w:cs="Arial"/>
          <w:color w:val="333333"/>
          <w:sz w:val="22"/>
          <w:szCs w:val="22"/>
        </w:rPr>
      </w:pPr>
    </w:p>
    <w:p w:rsidR="00510604" w:rsidRPr="004F04CB" w:rsidRDefault="0097781C" w:rsidP="00BE6F92">
      <w:pPr>
        <w:spacing w:line="276" w:lineRule="auto"/>
        <w:jc w:val="both"/>
        <w:rPr>
          <w:rFonts w:ascii="Arial" w:eastAsia="Arial" w:hAnsi="Arial" w:cs="Arial"/>
          <w:color w:val="212121"/>
          <w:sz w:val="22"/>
          <w:szCs w:val="22"/>
          <w:highlight w:val="white"/>
        </w:rPr>
      </w:pPr>
      <w:r w:rsidRPr="0097781C">
        <w:rPr>
          <w:rFonts w:ascii="Arial" w:eastAsia="Arial" w:hAnsi="Arial" w:cs="Arial"/>
          <w:color w:val="333333"/>
          <w:sz w:val="22"/>
          <w:szCs w:val="22"/>
        </w:rPr>
        <w:t>“L’informazione sulla distanza di trasmissione è cruciale per ottimizzare i protocolli di trattamento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con insetticidi in modo da evitare nuovi focolai o da limitare quelli in corso”, aggiunge Roberto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Rosà. “Ad esempio, ci permette di capire qual è l’area ottimale da trattare per limitare il contagio,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tenendo conto degli inevitabili tempi di ritardo necessari a identificare l’epidemia e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all’organizzazione logistica degli interventi. Questi risultati possono guidare gli interventi di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>disinfestazione anche sul nostro territorio: le zanzare tigre nostrane, infatti, possono essere vettori di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malattie tropicali, come dimostrato dalle epidemie italiane di </w:t>
      </w:r>
      <w:proofErr w:type="spellStart"/>
      <w:r w:rsidRPr="0097781C">
        <w:rPr>
          <w:rFonts w:ascii="Arial" w:eastAsia="Arial" w:hAnsi="Arial" w:cs="Arial"/>
          <w:color w:val="333333"/>
          <w:sz w:val="22"/>
          <w:szCs w:val="22"/>
        </w:rPr>
        <w:t>chikungunya</w:t>
      </w:r>
      <w:proofErr w:type="spellEnd"/>
      <w:r w:rsidRPr="0097781C">
        <w:rPr>
          <w:rFonts w:ascii="Arial" w:eastAsia="Arial" w:hAnsi="Arial" w:cs="Arial"/>
          <w:color w:val="333333"/>
          <w:sz w:val="22"/>
          <w:szCs w:val="22"/>
        </w:rPr>
        <w:t xml:space="preserve"> del 2007 e del 2017.”</w:t>
      </w:r>
      <w:r w:rsidR="00BE6F92">
        <w:rPr>
          <w:rFonts w:ascii="Arial" w:eastAsia="Arial" w:hAnsi="Arial" w:cs="Arial"/>
          <w:color w:val="333333"/>
          <w:sz w:val="22"/>
          <w:szCs w:val="22"/>
        </w:rPr>
        <w:t xml:space="preserve"> </w:t>
      </w:r>
    </w:p>
    <w:p w:rsidR="00510604" w:rsidRPr="004F04CB" w:rsidRDefault="00510604" w:rsidP="00BE6F92">
      <w:pPr>
        <w:spacing w:line="276" w:lineRule="auto"/>
        <w:jc w:val="both"/>
        <w:rPr>
          <w:rFonts w:ascii="Arial" w:eastAsia="Arial" w:hAnsi="Arial" w:cs="Arial"/>
          <w:color w:val="212121"/>
          <w:sz w:val="22"/>
          <w:szCs w:val="22"/>
          <w:highlight w:val="white"/>
        </w:rPr>
      </w:pPr>
    </w:p>
    <w:p w:rsidR="004F04CB" w:rsidRDefault="00BE6F92">
      <w:pPr>
        <w:spacing w:line="276" w:lineRule="auto"/>
        <w:jc w:val="both"/>
        <w:rPr>
          <w:rFonts w:ascii="Arial" w:eastAsia="Arial" w:hAnsi="Arial" w:cs="Arial"/>
          <w:color w:val="212121"/>
          <w:sz w:val="22"/>
          <w:szCs w:val="22"/>
        </w:rPr>
      </w:pPr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Seguono i link alla </w:t>
      </w:r>
      <w:r w:rsidR="0097781C">
        <w:rPr>
          <w:rFonts w:ascii="Arial" w:eastAsia="Arial" w:hAnsi="Arial" w:cs="Arial"/>
          <w:color w:val="212121"/>
          <w:sz w:val="22"/>
          <w:szCs w:val="22"/>
        </w:rPr>
        <w:t xml:space="preserve">NEWS 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pubblicata </w:t>
      </w:r>
      <w:r w:rsidR="0097781C">
        <w:rPr>
          <w:rFonts w:ascii="Arial" w:eastAsia="Arial" w:hAnsi="Arial" w:cs="Arial"/>
          <w:color w:val="212121"/>
          <w:sz w:val="22"/>
          <w:szCs w:val="22"/>
        </w:rPr>
        <w:t xml:space="preserve">su FBK Magazine </w:t>
      </w:r>
      <w:hyperlink r:id="rId7" w:history="1">
        <w:r w:rsidR="0097781C" w:rsidRPr="00A5396D">
          <w:rPr>
            <w:rStyle w:val="Collegamentoipertestuale"/>
            <w:rFonts w:ascii="Arial" w:eastAsia="Arial" w:hAnsi="Arial" w:cs="Arial"/>
            <w:sz w:val="22"/>
            <w:szCs w:val="22"/>
          </w:rPr>
          <w:t>https://magazine.fbk.eu/it/news/come-si-diffonde-la-febbre-dengue/</w:t>
        </w:r>
      </w:hyperlink>
      <w:r w:rsidR="0097781C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e all’articolo scientifico: </w:t>
      </w:r>
      <w:hyperlink r:id="rId8" w:history="1">
        <w:r w:rsidRPr="00A5396D">
          <w:rPr>
            <w:rStyle w:val="Collegamentoipertestuale"/>
            <w:rFonts w:ascii="Arial" w:eastAsia="Arial" w:hAnsi="Arial" w:cs="Arial"/>
            <w:sz w:val="22"/>
            <w:szCs w:val="22"/>
          </w:rPr>
          <w:t>https://www.nature.com/articles/s41467-018-05230-4</w:t>
        </w:r>
      </w:hyperlink>
    </w:p>
    <w:p w:rsidR="00BE6F92" w:rsidRDefault="00BE6F92">
      <w:pPr>
        <w:spacing w:line="276" w:lineRule="auto"/>
        <w:jc w:val="both"/>
        <w:rPr>
          <w:rFonts w:ascii="Arial" w:eastAsia="Arial" w:hAnsi="Arial" w:cs="Arial"/>
          <w:color w:val="212121"/>
          <w:sz w:val="22"/>
          <w:szCs w:val="22"/>
          <w:highlight w:val="white"/>
        </w:rPr>
      </w:pPr>
    </w:p>
    <w:p w:rsidR="00F20039" w:rsidRDefault="00F20039">
      <w:pPr>
        <w:spacing w:line="276" w:lineRule="auto"/>
        <w:jc w:val="both"/>
        <w:rPr>
          <w:rFonts w:ascii="Arial" w:eastAsia="Arial" w:hAnsi="Arial" w:cs="Arial"/>
          <w:color w:val="212121"/>
          <w:sz w:val="22"/>
          <w:szCs w:val="22"/>
          <w:highlight w:val="white"/>
        </w:rPr>
      </w:pPr>
    </w:p>
    <w:sectPr w:rsidR="00F20039">
      <w:headerReference w:type="default" r:id="rId9"/>
      <w:footerReference w:type="default" r:id="rId10"/>
      <w:pgSz w:w="11906" w:h="16838"/>
      <w:pgMar w:top="73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A6" w:rsidRDefault="009F64A6">
      <w:r>
        <w:separator/>
      </w:r>
    </w:p>
  </w:endnote>
  <w:endnote w:type="continuationSeparator" w:id="0">
    <w:p w:rsidR="009F64A6" w:rsidRDefault="009F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Montserrat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04" w:rsidRPr="0097781C" w:rsidRDefault="0097781C" w:rsidP="0097781C">
    <w:pPr>
      <w:tabs>
        <w:tab w:val="center" w:pos="4819"/>
      </w:tabs>
      <w:ind w:right="-143"/>
      <w:jc w:val="center"/>
      <w:rPr>
        <w:rFonts w:ascii="Roboto" w:eastAsia="Roboto" w:hAnsi="Roboto" w:cs="Roboto"/>
        <w:color w:val="005CAC"/>
        <w:sz w:val="18"/>
        <w:szCs w:val="18"/>
      </w:rPr>
    </w:pPr>
    <w:r>
      <w:rPr>
        <w:rFonts w:ascii="Roboto" w:eastAsia="Roboto" w:hAnsi="Roboto" w:cs="Roboto"/>
        <w:b/>
        <w:color w:val="005CAC"/>
        <w:sz w:val="18"/>
        <w:szCs w:val="18"/>
      </w:rPr>
      <w:t xml:space="preserve">FBK </w:t>
    </w:r>
    <w:r w:rsidR="00BF21CF">
      <w:rPr>
        <w:rFonts w:ascii="Roboto" w:eastAsia="Roboto" w:hAnsi="Roboto" w:cs="Roboto"/>
        <w:b/>
        <w:color w:val="005CAC"/>
        <w:sz w:val="18"/>
        <w:szCs w:val="18"/>
      </w:rPr>
      <w:t>Digital</w:t>
    </w:r>
    <w:r>
      <w:rPr>
        <w:rFonts w:ascii="Roboto" w:eastAsia="Roboto" w:hAnsi="Roboto" w:cs="Roboto"/>
        <w:b/>
        <w:color w:val="005CAC"/>
        <w:sz w:val="18"/>
        <w:szCs w:val="18"/>
      </w:rPr>
      <w:t xml:space="preserve"> </w:t>
    </w:r>
    <w:proofErr w:type="spellStart"/>
    <w:r>
      <w:rPr>
        <w:rFonts w:ascii="Roboto" w:eastAsia="Roboto" w:hAnsi="Roboto" w:cs="Roboto"/>
        <w:b/>
        <w:color w:val="005CAC"/>
        <w:sz w:val="18"/>
        <w:szCs w:val="18"/>
      </w:rPr>
      <w:t>Communication</w:t>
    </w:r>
    <w:proofErr w:type="spellEnd"/>
    <w:r>
      <w:rPr>
        <w:rFonts w:ascii="Roboto" w:eastAsia="Roboto" w:hAnsi="Roboto" w:cs="Roboto"/>
        <w:b/>
        <w:color w:val="005CAC"/>
        <w:sz w:val="18"/>
        <w:szCs w:val="18"/>
      </w:rPr>
      <w:t xml:space="preserve"> e Grandi Eventi </w:t>
    </w:r>
    <w:r>
      <w:rPr>
        <w:rFonts w:ascii="Roboto" w:eastAsia="Roboto" w:hAnsi="Roboto" w:cs="Roboto"/>
        <w:b/>
        <w:color w:val="005CAC"/>
        <w:sz w:val="18"/>
        <w:szCs w:val="18"/>
      </w:rPr>
      <w:br/>
      <w:t>C</w:t>
    </w:r>
    <w:r w:rsidR="00BF21CF">
      <w:rPr>
        <w:rFonts w:ascii="Roboto" w:eastAsia="Roboto" w:hAnsi="Roboto" w:cs="Roboto"/>
        <w:b/>
        <w:color w:val="005CAC"/>
        <w:sz w:val="18"/>
        <w:szCs w:val="18"/>
      </w:rPr>
      <w:t>ontatti</w:t>
    </w:r>
    <w:r>
      <w:rPr>
        <w:rFonts w:ascii="Roboto" w:eastAsia="Roboto" w:hAnsi="Roboto" w:cs="Roboto"/>
        <w:b/>
        <w:color w:val="005CAC"/>
        <w:sz w:val="18"/>
        <w:szCs w:val="18"/>
      </w:rPr>
      <w:t>:</w:t>
    </w:r>
    <w:r w:rsidR="00BF21CF">
      <w:rPr>
        <w:rFonts w:ascii="Roboto" w:eastAsia="Roboto" w:hAnsi="Roboto" w:cs="Roboto"/>
        <w:b/>
        <w:color w:val="005CAC"/>
        <w:sz w:val="18"/>
        <w:szCs w:val="18"/>
      </w:rPr>
      <w:t xml:space="preserve"> 0461 314 616</w:t>
    </w:r>
    <w:r>
      <w:rPr>
        <w:rFonts w:ascii="Roboto" w:eastAsia="Roboto" w:hAnsi="Roboto" w:cs="Roboto"/>
        <w:b/>
        <w:color w:val="005CAC"/>
        <w:sz w:val="18"/>
        <w:szCs w:val="18"/>
      </w:rPr>
      <w:t xml:space="preserve"> | </w:t>
    </w:r>
    <w:hyperlink r:id="rId1" w:history="1">
      <w:r w:rsidRPr="00A5396D">
        <w:rPr>
          <w:rStyle w:val="Collegamentoipertestuale"/>
          <w:rFonts w:ascii="Roboto" w:eastAsia="Roboto" w:hAnsi="Roboto" w:cs="Roboto"/>
          <w:b/>
          <w:sz w:val="18"/>
          <w:szCs w:val="18"/>
        </w:rPr>
        <w:t>news@fbk.eu</w:t>
      </w:r>
    </w:hyperlink>
    <w:r>
      <w:rPr>
        <w:rFonts w:ascii="Roboto" w:eastAsia="Roboto" w:hAnsi="Roboto" w:cs="Roboto"/>
        <w:b/>
        <w:color w:val="005CA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A6" w:rsidRDefault="009F64A6">
      <w:r>
        <w:separator/>
      </w:r>
    </w:p>
  </w:footnote>
  <w:footnote w:type="continuationSeparator" w:id="0">
    <w:p w:rsidR="009F64A6" w:rsidRDefault="009F6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04" w:rsidRDefault="00BF21CF">
    <w:pPr>
      <w:tabs>
        <w:tab w:val="center" w:pos="4819"/>
        <w:tab w:val="right" w:pos="9638"/>
      </w:tabs>
      <w:rPr>
        <w:rFonts w:ascii="Verdana" w:eastAsia="Verdana" w:hAnsi="Verdana" w:cs="Verdana"/>
        <w:sz w:val="17"/>
        <w:szCs w:val="17"/>
      </w:rPr>
    </w:pPr>
    <w:r>
      <w:rPr>
        <w:noProof/>
        <w:lang w:eastAsia="it-IT"/>
      </w:rPr>
      <w:drawing>
        <wp:inline distT="0" distB="0" distL="0" distR="0">
          <wp:extent cx="1114425" cy="942975"/>
          <wp:effectExtent l="0" t="0" r="9525" b="9525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7781C">
      <w:rPr>
        <w:rFonts w:ascii="Verdana" w:eastAsia="Verdana" w:hAnsi="Verdana" w:cs="Verdana"/>
        <w:sz w:val="17"/>
        <w:szCs w:val="17"/>
      </w:rPr>
      <w:tab/>
    </w:r>
    <w:r w:rsidR="0097781C">
      <w:rPr>
        <w:rFonts w:ascii="Verdana" w:eastAsia="Verdana" w:hAnsi="Verdana" w:cs="Verdana"/>
        <w:sz w:val="17"/>
        <w:szCs w:val="17"/>
      </w:rPr>
      <w:tab/>
      <w:t xml:space="preserve">       </w:t>
    </w:r>
    <w:r w:rsidR="0097781C">
      <w:rPr>
        <w:noProof/>
        <w:lang w:eastAsia="it-IT"/>
      </w:rPr>
      <w:drawing>
        <wp:inline distT="0" distB="0" distL="0" distR="0">
          <wp:extent cx="2771775" cy="983260"/>
          <wp:effectExtent l="0" t="0" r="0" b="7620"/>
          <wp:docPr id="4" name="Immagine 4" descr="C:\Users\sciascia\AppData\Local\Microsoft\Windows\INetCache\Content.Word\LOGO_ORIZ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ciascia\AppData\Local\Microsoft\Windows\INetCache\Content.Word\LOGO_ORIZ_CO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684" cy="999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04"/>
    <w:rsid w:val="00251983"/>
    <w:rsid w:val="00353AE1"/>
    <w:rsid w:val="004F04CB"/>
    <w:rsid w:val="00510604"/>
    <w:rsid w:val="0097781C"/>
    <w:rsid w:val="009E5654"/>
    <w:rsid w:val="009F64A6"/>
    <w:rsid w:val="00A07672"/>
    <w:rsid w:val="00BE6F92"/>
    <w:rsid w:val="00BF21CF"/>
    <w:rsid w:val="00CB78DC"/>
    <w:rsid w:val="00D33DED"/>
    <w:rsid w:val="00D72080"/>
    <w:rsid w:val="00F20039"/>
    <w:rsid w:val="00F71B97"/>
    <w:rsid w:val="00FC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E41A1"/>
  <w15:docId w15:val="{DF7F3EE6-DC89-4C79-866E-BD507BCA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outlineLvl w:val="0"/>
    </w:pPr>
    <w:rPr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jc w:val="center"/>
    </w:pPr>
    <w:rPr>
      <w:b/>
      <w:i/>
      <w:sz w:val="48"/>
      <w:szCs w:val="4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F04C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04C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7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81C"/>
  </w:style>
  <w:style w:type="paragraph" w:styleId="Pidipagina">
    <w:name w:val="footer"/>
    <w:basedOn w:val="Normale"/>
    <w:link w:val="PidipaginaCarattere"/>
    <w:uiPriority w:val="99"/>
    <w:unhideWhenUsed/>
    <w:rsid w:val="00977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s41467-018-05230-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azine.fbk.eu/it/news/come-si-diffonde-la-febbre-dengu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ws@fbk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FBA4C-A8AE-4857-9973-3ADD1C9C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Malesardi</dc:creator>
  <cp:lastModifiedBy>Giancarlo Sciascia</cp:lastModifiedBy>
  <cp:revision>2</cp:revision>
  <dcterms:created xsi:type="dcterms:W3CDTF">2018-07-23T09:44:00Z</dcterms:created>
  <dcterms:modified xsi:type="dcterms:W3CDTF">2018-07-23T09:44:00Z</dcterms:modified>
</cp:coreProperties>
</file>